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3D1295">
      <w:pPr>
        <w:keepNext w:val="0"/>
        <w:keepLines w:val="0"/>
        <w:widowControl/>
        <w:suppressLineNumbers w:val="0"/>
        <w:jc w:val="left"/>
        <w:rPr>
          <w:rFonts w:hint="eastAsia" w:ascii="方正黑体_GBK" w:hAnsi="方正黑体_GBK" w:eastAsia="方正黑体_GBK" w:cs="方正黑体_GBK"/>
          <w:b/>
          <w:bCs w:val="0"/>
          <w:sz w:val="32"/>
          <w:szCs w:val="32"/>
          <w:lang w:val="en-US" w:eastAsia="zh-CN"/>
        </w:rPr>
      </w:pPr>
      <w:bookmarkStart w:id="0" w:name="_GoBack"/>
      <w:bookmarkEnd w:id="0"/>
      <w:r>
        <w:rPr>
          <w:rFonts w:hint="eastAsia" w:ascii="方正黑体_GBK" w:hAnsi="方正黑体_GBK" w:eastAsia="方正黑体_GBK" w:cs="方正黑体_GBK"/>
          <w:b/>
          <w:bCs w:val="0"/>
          <w:sz w:val="32"/>
          <w:szCs w:val="32"/>
          <w:lang w:val="en-US" w:eastAsia="zh-CN"/>
        </w:rPr>
        <w:t>附件4</w:t>
      </w:r>
    </w:p>
    <w:p w14:paraId="105D0CDF">
      <w:pPr>
        <w:keepNext w:val="0"/>
        <w:keepLines w:val="0"/>
        <w:widowControl/>
        <w:suppressLineNumbers w:val="0"/>
        <w:jc w:val="left"/>
        <w:rPr>
          <w:rFonts w:hint="eastAsia" w:ascii="方正黑体_GBK" w:hAnsi="方正黑体_GBK" w:eastAsia="方正黑体_GBK" w:cs="方正黑体_GBK"/>
          <w:b/>
          <w:bCs w:val="0"/>
          <w:sz w:val="32"/>
          <w:szCs w:val="32"/>
          <w:lang w:val="en-US" w:eastAsia="zh-CN"/>
        </w:rPr>
      </w:pPr>
    </w:p>
    <w:p w14:paraId="4A1EA7EF">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Times New Roman" w:hAnsi="Times New Roman" w:eastAsia="方正小标宋_GBK" w:cs="Times New Roman"/>
          <w:b/>
          <w:bCs w:val="0"/>
          <w:kern w:val="2"/>
          <w:sz w:val="36"/>
          <w:szCs w:val="36"/>
          <w:lang w:val="en-US" w:eastAsia="zh-CN" w:bidi="ar-SA"/>
        </w:rPr>
      </w:pPr>
      <w:r>
        <w:rPr>
          <w:rFonts w:hint="eastAsia" w:ascii="Times New Roman" w:hAnsi="Times New Roman" w:eastAsia="方正小标宋_GBK" w:cs="Times New Roman"/>
          <w:b/>
          <w:bCs w:val="0"/>
          <w:kern w:val="2"/>
          <w:sz w:val="36"/>
          <w:szCs w:val="36"/>
          <w:lang w:val="en-US" w:eastAsia="zh-CN" w:bidi="ar-SA"/>
        </w:rPr>
        <w:t>全国优秀儿童文学奖评奖条例</w:t>
      </w:r>
    </w:p>
    <w:p w14:paraId="054A870C">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sz w:val="30"/>
          <w:szCs w:val="30"/>
        </w:rPr>
      </w:pPr>
    </w:p>
    <w:p w14:paraId="3456DCEE">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sz w:val="30"/>
          <w:szCs w:val="30"/>
        </w:rPr>
      </w:pPr>
      <w:r>
        <w:rPr>
          <w:rFonts w:hint="eastAsia"/>
          <w:sz w:val="30"/>
          <w:szCs w:val="30"/>
        </w:rPr>
        <w:t>(2025年4月11日修订)</w:t>
      </w:r>
    </w:p>
    <w:p w14:paraId="2CBE0B35">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sz w:val="30"/>
          <w:szCs w:val="30"/>
        </w:rPr>
      </w:pPr>
    </w:p>
    <w:p w14:paraId="5B732243">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全国优秀儿童文学奖由中国作家协会主办，旨在鼓励优秀儿童文学创作，推动儿童文学的繁荣发展，是中国具有最高荣誉的文学奖项之一。</w:t>
      </w:r>
    </w:p>
    <w:p w14:paraId="59C814FF">
      <w:pPr>
        <w:keepNext w:val="0"/>
        <w:keepLines w:val="0"/>
        <w:pageBreakBefore w:val="0"/>
        <w:widowControl w:val="0"/>
        <w:kinsoku/>
        <w:overflowPunct/>
        <w:topLinePunct w:val="0"/>
        <w:autoSpaceDE/>
        <w:autoSpaceDN/>
        <w:bidi w:val="0"/>
        <w:adjustRightInd/>
        <w:snapToGrid/>
        <w:spacing w:line="520" w:lineRule="exact"/>
        <w:ind w:firstLine="602" w:firstLineChars="200"/>
        <w:textAlignment w:val="auto"/>
        <w:rPr>
          <w:b/>
          <w:bCs/>
          <w:sz w:val="30"/>
          <w:szCs w:val="30"/>
        </w:rPr>
      </w:pPr>
      <w:r>
        <w:rPr>
          <w:rFonts w:hint="eastAsia"/>
          <w:b/>
          <w:bCs/>
          <w:sz w:val="30"/>
          <w:szCs w:val="30"/>
        </w:rPr>
        <w:t>一、指导思想</w:t>
      </w:r>
    </w:p>
    <w:p w14:paraId="1DCC15AF">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全国优秀儿童文学奖以习近平新时代中国特色社会主义思想为指导，深入贯彻习近平文化思想，坚持以人民为中心的创作导向，坚持为人民服务、为社会主义服务的方向和百花齐放、百家争鸣的方针，体现导向性、专业性、公正性，为少年儿童提供优秀的精神食粮。</w:t>
      </w:r>
    </w:p>
    <w:p w14:paraId="66903FFB">
      <w:pPr>
        <w:keepNext w:val="0"/>
        <w:keepLines w:val="0"/>
        <w:pageBreakBefore w:val="0"/>
        <w:widowControl w:val="0"/>
        <w:kinsoku/>
        <w:overflowPunct/>
        <w:topLinePunct w:val="0"/>
        <w:autoSpaceDE/>
        <w:autoSpaceDN/>
        <w:bidi w:val="0"/>
        <w:adjustRightInd/>
        <w:snapToGrid/>
        <w:spacing w:line="520" w:lineRule="exact"/>
        <w:ind w:firstLine="602" w:firstLineChars="200"/>
        <w:textAlignment w:val="auto"/>
        <w:rPr>
          <w:b/>
          <w:bCs/>
          <w:sz w:val="30"/>
          <w:szCs w:val="30"/>
        </w:rPr>
      </w:pPr>
      <w:r>
        <w:rPr>
          <w:rFonts w:hint="eastAsia"/>
          <w:b/>
          <w:bCs/>
          <w:sz w:val="30"/>
          <w:szCs w:val="30"/>
        </w:rPr>
        <w:t>二、评选范围和奖项设置</w:t>
      </w:r>
    </w:p>
    <w:p w14:paraId="042E276D">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凡评选年限内首次公开出版和发表，出版和发表地在中国大陆地区，符合评选体裁、门类要求的儿童文学作品，均可参加全国优秀儿童文学奖评选。</w:t>
      </w:r>
    </w:p>
    <w:p w14:paraId="205CE68A">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评选体裁、门类包括：小说、诗歌(含散文诗)、童话、寓言、散文、报告文学（含纪实文学、传记文学)、科幻文学、幼儿文学、儿童绘本等。</w:t>
      </w:r>
    </w:p>
    <w:p w14:paraId="5408C5F9">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以上各体裁、门类作品均以单行本参评。结集参评的，出版年月前四年内发表的作品须占全书字数的三分之二以上。不接受多人合集或一人多体裁合集参评。套系作品须以单本参评，多卷本作品应以全书参评。</w:t>
      </w:r>
    </w:p>
    <w:p w14:paraId="21AA29A7">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用少数民族文字创作的儿童文学作品，以汉文译本参评。</w:t>
      </w:r>
    </w:p>
    <w:p w14:paraId="0607E91F">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儿童绘本作品的文字和图画作者需共同申报。</w:t>
      </w:r>
    </w:p>
    <w:p w14:paraId="07169EB1">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为鼓励文学新人，设立青年作者短篇佳作奖，参评作品字数不超过1万字，作者年龄须在35岁以下（含35岁）。</w:t>
      </w:r>
    </w:p>
    <w:p w14:paraId="20525C6E">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获奖作品总数不超过18部（篇）。</w:t>
      </w:r>
    </w:p>
    <w:p w14:paraId="0C68435C">
      <w:pPr>
        <w:keepNext w:val="0"/>
        <w:keepLines w:val="0"/>
        <w:pageBreakBefore w:val="0"/>
        <w:widowControl w:val="0"/>
        <w:kinsoku/>
        <w:overflowPunct/>
        <w:topLinePunct w:val="0"/>
        <w:autoSpaceDE/>
        <w:autoSpaceDN/>
        <w:bidi w:val="0"/>
        <w:adjustRightInd/>
        <w:snapToGrid/>
        <w:spacing w:line="520" w:lineRule="exact"/>
        <w:ind w:firstLine="602" w:firstLineChars="200"/>
        <w:textAlignment w:val="auto"/>
        <w:rPr>
          <w:rFonts w:hint="eastAsia"/>
          <w:b/>
          <w:bCs/>
          <w:sz w:val="30"/>
          <w:szCs w:val="30"/>
        </w:rPr>
      </w:pPr>
      <w:r>
        <w:rPr>
          <w:rFonts w:hint="eastAsia"/>
          <w:b/>
          <w:bCs/>
          <w:sz w:val="30"/>
          <w:szCs w:val="30"/>
        </w:rPr>
        <w:t>三、评奖标准</w:t>
      </w:r>
    </w:p>
    <w:p w14:paraId="08A8AC64">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全国优秀儿童文学奖评选坚持思想性、艺术性、可读性相统一的原则。获奖作品应弘扬社会主义核心价值观，有利于提高少年儿童的思想品德、文化素质和审美情操。对于弘扬中华优秀传统文化、体现时代精神、塑造新人形象、鼓舞少年儿童奋发向上的作品，将予以重点关注。重视作品的艺术品质，提倡题材、风格的多样化。在保证质量的前提下，兼顾面向幼儿、儿童、少年的作品。</w:t>
      </w:r>
    </w:p>
    <w:p w14:paraId="45A051A0">
      <w:pPr>
        <w:keepNext w:val="0"/>
        <w:keepLines w:val="0"/>
        <w:pageBreakBefore w:val="0"/>
        <w:widowControl w:val="0"/>
        <w:kinsoku/>
        <w:overflowPunct/>
        <w:topLinePunct w:val="0"/>
        <w:autoSpaceDE/>
        <w:autoSpaceDN/>
        <w:bidi w:val="0"/>
        <w:adjustRightInd/>
        <w:snapToGrid/>
        <w:spacing w:line="520" w:lineRule="exact"/>
        <w:ind w:firstLine="602" w:firstLineChars="200"/>
        <w:textAlignment w:val="auto"/>
        <w:rPr>
          <w:rFonts w:hint="eastAsia"/>
          <w:b/>
          <w:bCs/>
          <w:sz w:val="30"/>
          <w:szCs w:val="30"/>
        </w:rPr>
      </w:pPr>
      <w:r>
        <w:rPr>
          <w:rFonts w:hint="eastAsia"/>
          <w:b/>
          <w:bCs/>
          <w:sz w:val="30"/>
          <w:szCs w:val="30"/>
        </w:rPr>
        <w:t>四、评奖机构</w:t>
      </w:r>
    </w:p>
    <w:p w14:paraId="022DCE5A">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全国优秀儿童文学奖评奖工作在中国作家协会党组书记处领导下进行，由评奖委员会具体负责。</w:t>
      </w:r>
    </w:p>
    <w:p w14:paraId="6FE435DC">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设立评委专家库，评奖委员会委员在中国作协机关纪委监督下，由评奖办公室从评委专家库中抽取，由中国作家协会书记处审核同意后聘任。评委应为从事和关注了解儿童文学创作状况的作家、评论家、编辑家及文学组织工作者，年龄不超过70岁。</w:t>
      </w:r>
    </w:p>
    <w:p w14:paraId="438BEE72">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评奖委员会设主任、副主任，由中国作家协会书记处聘任。</w:t>
      </w:r>
    </w:p>
    <w:p w14:paraId="59A01AE4">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评奖委员会下设评奖办公室，承担事务性工作。评奖办公室设在中国作家协会创作研究部。</w:t>
      </w:r>
    </w:p>
    <w:p w14:paraId="34E80421">
      <w:pPr>
        <w:keepNext w:val="0"/>
        <w:keepLines w:val="0"/>
        <w:pageBreakBefore w:val="0"/>
        <w:widowControl w:val="0"/>
        <w:kinsoku/>
        <w:overflowPunct/>
        <w:topLinePunct w:val="0"/>
        <w:autoSpaceDE/>
        <w:autoSpaceDN/>
        <w:bidi w:val="0"/>
        <w:adjustRightInd/>
        <w:snapToGrid/>
        <w:spacing w:line="520" w:lineRule="exact"/>
        <w:ind w:firstLine="602" w:firstLineChars="200"/>
        <w:textAlignment w:val="auto"/>
        <w:rPr>
          <w:rFonts w:hint="eastAsia"/>
          <w:b/>
          <w:bCs/>
          <w:sz w:val="30"/>
          <w:szCs w:val="30"/>
        </w:rPr>
      </w:pPr>
      <w:r>
        <w:rPr>
          <w:rFonts w:hint="eastAsia"/>
          <w:b/>
          <w:bCs/>
          <w:sz w:val="30"/>
          <w:szCs w:val="30"/>
        </w:rPr>
        <w:t>五、评奖程序</w:t>
      </w:r>
    </w:p>
    <w:p w14:paraId="71C422FD">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1、征集参评作品。参评作品征集工作由评奖办公室负责。具体参评条件和要求以评奖办公室公告为准。中国作家协会各团体会员单位，中央军委政治工作部宣传局，各专业少年儿童出版社、报刊社及其他出版社、报刊社等按照征集公告的要求向评奖办公室推荐参评作品。</w:t>
      </w:r>
    </w:p>
    <w:p w14:paraId="498570E7">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符合条件的作者可向上述单位提出参评要求，评奖办公室不接受个人申报。</w:t>
      </w:r>
    </w:p>
    <w:p w14:paraId="218BFF2F">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参评作品目录经初步审核后公示。如发现不符合参评条件的，评奖办公室取消有关作品的参评资格。</w:t>
      </w:r>
    </w:p>
    <w:p w14:paraId="5EE2A095">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2、产生初选作品。评奖委员会经阅读、讨论投票选出初选作品。总数原则上不超过36部（篇）。</w:t>
      </w:r>
    </w:p>
    <w:p w14:paraId="15F08039">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3、产生获奖作品。经评奖委员会投票，以不少于委员总数三分之二的票数在初选作品中产生获奖作品。</w:t>
      </w:r>
    </w:p>
    <w:p w14:paraId="243D2435">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4、公证与公示。产生初选作品和获奖作品的投票由国家法定公证机构现场公证。初选作品名单向社会公示。</w:t>
      </w:r>
    </w:p>
    <w:p w14:paraId="4C790782">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5、发布和颁奖。评选结果经中国作家协会书记处审定后统一发布。举行颁奖大会，公布授奖辞，向获奖作者颁发证书、奖杯和奖金。向获奖作品的责任编辑颁发证书。</w:t>
      </w:r>
    </w:p>
    <w:p w14:paraId="7AA0B822">
      <w:pPr>
        <w:keepNext w:val="0"/>
        <w:keepLines w:val="0"/>
        <w:pageBreakBefore w:val="0"/>
        <w:widowControl w:val="0"/>
        <w:kinsoku/>
        <w:overflowPunct/>
        <w:topLinePunct w:val="0"/>
        <w:autoSpaceDE/>
        <w:autoSpaceDN/>
        <w:bidi w:val="0"/>
        <w:adjustRightInd/>
        <w:snapToGrid/>
        <w:spacing w:line="520" w:lineRule="exact"/>
        <w:ind w:firstLine="602" w:firstLineChars="200"/>
        <w:textAlignment w:val="auto"/>
        <w:rPr>
          <w:rFonts w:hint="eastAsia"/>
          <w:b/>
          <w:bCs/>
          <w:sz w:val="30"/>
          <w:szCs w:val="30"/>
        </w:rPr>
      </w:pPr>
      <w:r>
        <w:rPr>
          <w:rFonts w:hint="eastAsia"/>
          <w:b/>
          <w:bCs/>
          <w:sz w:val="30"/>
          <w:szCs w:val="30"/>
        </w:rPr>
        <w:t>六、评奖纪律</w:t>
      </w:r>
    </w:p>
    <w:p w14:paraId="61D77C70">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严禁行贿受贿等违纪违法行为和人情请托等不正之风。评奖委员会成员、评奖办公室工作人员，不得有任何可能影响评选结果的不正当行为。如有违反，有关人员的工作资格和有关作品的参评资格均予取消。</w:t>
      </w:r>
    </w:p>
    <w:p w14:paraId="764765F7">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实行回避制度。评奖委员会成员及评奖办公室工作人员，如系参评者，或系参评作品责任编辑、参评者或责任编辑的亲属、参评作品出版或发表单位主要负责人，须退出评奖委员会、评奖办公室，或有关作品退出评选。</w:t>
      </w:r>
    </w:p>
    <w:p w14:paraId="45653BD4">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中国作家协会组成专门的纪律监察组监督评选过程。</w:t>
      </w:r>
    </w:p>
    <w:p w14:paraId="53668478">
      <w:pPr>
        <w:keepNext w:val="0"/>
        <w:keepLines w:val="0"/>
        <w:pageBreakBefore w:val="0"/>
        <w:widowControl w:val="0"/>
        <w:kinsoku/>
        <w:overflowPunct/>
        <w:topLinePunct w:val="0"/>
        <w:autoSpaceDE/>
        <w:autoSpaceDN/>
        <w:bidi w:val="0"/>
        <w:adjustRightInd/>
        <w:snapToGrid/>
        <w:spacing w:line="520" w:lineRule="exact"/>
        <w:ind w:firstLine="602" w:firstLineChars="200"/>
        <w:textAlignment w:val="auto"/>
        <w:rPr>
          <w:rFonts w:hint="eastAsia"/>
          <w:b/>
          <w:bCs/>
          <w:sz w:val="30"/>
          <w:szCs w:val="30"/>
        </w:rPr>
      </w:pPr>
      <w:r>
        <w:rPr>
          <w:rFonts w:hint="eastAsia"/>
          <w:b/>
          <w:bCs/>
          <w:sz w:val="30"/>
          <w:szCs w:val="30"/>
        </w:rPr>
        <w:t>七、附则</w:t>
      </w:r>
    </w:p>
    <w:p w14:paraId="6C7DD9BE">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rFonts w:hint="eastAsia"/>
          <w:sz w:val="30"/>
          <w:szCs w:val="30"/>
        </w:rPr>
        <w:t>本条例由中国作家协会书记处负责制订、解释。未尽事宜以中国作家协会书记处制订的《评奖细则》为准。</w:t>
      </w:r>
    </w:p>
    <w:p w14:paraId="3262F436">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rFonts w:hint="default"/>
          <w:sz w:val="30"/>
          <w:szCs w:val="30"/>
          <w:lang w:val="en-US" w:eastAsia="zh-CN"/>
        </w:rPr>
      </w:pPr>
    </w:p>
    <w:sectPr>
      <w:headerReference r:id="rId5" w:type="first"/>
      <w:footerReference r:id="rId8" w:type="first"/>
      <w:headerReference r:id="rId3" w:type="default"/>
      <w:footerReference r:id="rId6" w:type="default"/>
      <w:headerReference r:id="rId4" w:type="even"/>
      <w:footerReference r:id="rId7" w:type="even"/>
      <w:pgSz w:w="11906" w:h="16838"/>
      <w:pgMar w:top="1871" w:right="1701" w:bottom="1701" w:left="170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xi 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_GBK">
    <w:panose1 w:val="02000000000000000000"/>
    <w:charset w:val="86"/>
    <w:family w:val="script"/>
    <w:pitch w:val="default"/>
    <w:sig w:usb0="00000001" w:usb1="080E0000" w:usb2="00000000" w:usb3="00000000" w:csb0="00040000" w:csb1="00000000"/>
    <w:embedRegular r:id="rId1" w:fontKey="{B14A9A74-86BA-42F3-BFF9-24E73B33BC1D}"/>
  </w:font>
  <w:font w:name="方正仿宋简体">
    <w:altName w:val="微软雅黑"/>
    <w:panose1 w:val="02000000000000000000"/>
    <w:charset w:val="86"/>
    <w:family w:val="script"/>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ADBA3">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63B3C">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7A5BA">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E201F">
    <w:pPr>
      <w:pStyle w:val="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E5A68">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AA3D0">
    <w:pPr>
      <w:pStyle w:val="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02B"/>
    <w:rsid w:val="00116418"/>
    <w:rsid w:val="00400066"/>
    <w:rsid w:val="00ED602B"/>
    <w:rsid w:val="08E7660F"/>
    <w:rsid w:val="09364775"/>
    <w:rsid w:val="0BEB6F66"/>
    <w:rsid w:val="12DF75E1"/>
    <w:rsid w:val="142B55CD"/>
    <w:rsid w:val="14924593"/>
    <w:rsid w:val="14AC6436"/>
    <w:rsid w:val="15D54412"/>
    <w:rsid w:val="17CA756C"/>
    <w:rsid w:val="18F41454"/>
    <w:rsid w:val="19AF0674"/>
    <w:rsid w:val="1A6D1CC8"/>
    <w:rsid w:val="1A982262"/>
    <w:rsid w:val="1DF45440"/>
    <w:rsid w:val="1E7E1EBC"/>
    <w:rsid w:val="1F2F30A5"/>
    <w:rsid w:val="208C6CA0"/>
    <w:rsid w:val="21FA714E"/>
    <w:rsid w:val="23D12C38"/>
    <w:rsid w:val="272560F0"/>
    <w:rsid w:val="27636E07"/>
    <w:rsid w:val="27AC64F0"/>
    <w:rsid w:val="2ACD0F1D"/>
    <w:rsid w:val="2B65682A"/>
    <w:rsid w:val="2BD06100"/>
    <w:rsid w:val="2CF4338A"/>
    <w:rsid w:val="2EFF57F6"/>
    <w:rsid w:val="33A82C56"/>
    <w:rsid w:val="367B6FB5"/>
    <w:rsid w:val="39095889"/>
    <w:rsid w:val="3A18450B"/>
    <w:rsid w:val="3C917532"/>
    <w:rsid w:val="3CA1529C"/>
    <w:rsid w:val="3D923F2A"/>
    <w:rsid w:val="3EE65F79"/>
    <w:rsid w:val="3FD33DE1"/>
    <w:rsid w:val="408B4299"/>
    <w:rsid w:val="41281AE7"/>
    <w:rsid w:val="44863BD7"/>
    <w:rsid w:val="47B642F1"/>
    <w:rsid w:val="49DF4E30"/>
    <w:rsid w:val="528C4035"/>
    <w:rsid w:val="54905ECA"/>
    <w:rsid w:val="567A43CB"/>
    <w:rsid w:val="57693433"/>
    <w:rsid w:val="57CF5E93"/>
    <w:rsid w:val="59403DF2"/>
    <w:rsid w:val="598040C8"/>
    <w:rsid w:val="5B0E0B2C"/>
    <w:rsid w:val="5E786506"/>
    <w:rsid w:val="614F1975"/>
    <w:rsid w:val="653C778A"/>
    <w:rsid w:val="6E0E1EE1"/>
    <w:rsid w:val="70741DA4"/>
    <w:rsid w:val="719B7F30"/>
    <w:rsid w:val="76102CAA"/>
    <w:rsid w:val="78614A1D"/>
    <w:rsid w:val="78A80771"/>
    <w:rsid w:val="7AFB303D"/>
    <w:rsid w:val="7D824D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qFormat/>
    <w:uiPriority w:val="0"/>
    <w:pPr>
      <w:widowControl/>
      <w:spacing w:before="100" w:beforeAutospacing="1" w:after="100" w:afterAutospacing="1"/>
      <w:jc w:val="left"/>
      <w:outlineLvl w:val="0"/>
    </w:pPr>
    <w:rPr>
      <w:rFonts w:ascii="宋体" w:cs="宋体"/>
      <w:b/>
      <w:bCs/>
      <w:kern w:val="36"/>
      <w:sz w:val="48"/>
      <w:szCs w:val="48"/>
    </w:rPr>
  </w:style>
  <w:style w:type="paragraph" w:styleId="3">
    <w:name w:val="heading 2"/>
    <w:basedOn w:val="1"/>
    <w:next w:val="1"/>
    <w:qFormat/>
    <w:uiPriority w:val="0"/>
    <w:pPr>
      <w:keepNext/>
      <w:keepLines/>
      <w:spacing w:before="260" w:after="260" w:line="415" w:lineRule="auto"/>
      <w:outlineLvl w:val="1"/>
    </w:pPr>
    <w:rPr>
      <w:rFonts w:ascii="Luxi Sans" w:hAnsi="Luxi Sans" w:eastAsia="黑体"/>
      <w:b/>
      <w:sz w:val="32"/>
    </w:rPr>
  </w:style>
  <w:style w:type="paragraph" w:styleId="4">
    <w:name w:val="heading 3"/>
    <w:basedOn w:val="1"/>
    <w:next w:val="1"/>
    <w:qFormat/>
    <w:uiPriority w:val="0"/>
    <w:pPr>
      <w:keepNext/>
      <w:keepLines/>
      <w:spacing w:before="260" w:after="260" w:line="415" w:lineRule="auto"/>
      <w:outlineLvl w:val="2"/>
    </w:pPr>
    <w:rPr>
      <w:b/>
      <w:sz w:val="32"/>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1">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6">
    <w:name w:val="Balloon Text"/>
    <w:basedOn w:val="1"/>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widowControl/>
      <w:spacing w:before="100" w:beforeAutospacing="1" w:after="100" w:afterAutospacing="1"/>
      <w:jc w:val="left"/>
    </w:pPr>
    <w:rPr>
      <w:rFonts w:ascii="宋体" w:cs="宋体"/>
      <w:kern w:val="0"/>
      <w:sz w:val="24"/>
    </w:rPr>
  </w:style>
  <w:style w:type="character" w:styleId="12">
    <w:name w:val="Strong"/>
    <w:basedOn w:val="11"/>
    <w:qFormat/>
    <w:uiPriority w:val="0"/>
    <w:rPr>
      <w:b/>
      <w:bCs/>
    </w:rPr>
  </w:style>
  <w:style w:type="character" w:styleId="13">
    <w:name w:val="Emphasis"/>
    <w:basedOn w:val="11"/>
    <w:qFormat/>
    <w:uiPriority w:val="0"/>
    <w:rPr>
      <w:i/>
      <w:iCs/>
    </w:rPr>
  </w:style>
  <w:style w:type="character" w:styleId="14">
    <w:name w:val="Hyperlink"/>
    <w:basedOn w:val="11"/>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4</Pages>
  <Words>3711</Words>
  <Characters>3912</Characters>
  <Lines>3</Lines>
  <Paragraphs>1</Paragraphs>
  <TotalTime>2</TotalTime>
  <ScaleCrop>false</ScaleCrop>
  <LinksUpToDate>false</LinksUpToDate>
  <CharactersWithSpaces>3928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2019-02-22T02:57:00Z</dcterms:created>
  <dc:creator>User</dc:creator>
  <cp:lastModifiedBy>-_-</cp:lastModifiedBy>
  <cp:lastPrinted>2025-04-14T04:16:00Z</cp:lastPrinted>
  <dcterms:modified xsi:type="dcterms:W3CDTF">2025-04-14T06:40:23Z</dcterms:modified>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eyJoZGlkIjoiMDM2NzNjYmRiMzFhNDRmMDFkZDZhZjAzMzZjMjE1MTUiLCJ1c2VySWQiOiIzNDk4NzIyODIifQ==</vt:lpwstr>
  </property>
  <property fmtid="{D5CDD505-2E9C-101B-9397-08002B2CF9AE}" pid="3" name="KSOProductBuildVer">
    <vt:lpwstr>2052-12.1.0.20305</vt:lpwstr>
  </property>
  <property fmtid="{D5CDD505-2E9C-101B-9397-08002B2CF9AE}" pid="4" name="ICV">
    <vt:lpwstr>7E7B7081D3A54393B08C053E637864EB_13</vt:lpwstr>
  </property>
</Properties>
</file>