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F578D3">
      <w:pPr>
        <w:keepNext w:val="0"/>
        <w:keepLines w:val="0"/>
        <w:widowControl/>
        <w:suppressLineNumbers w:val="0"/>
        <w:jc w:val="left"/>
        <w:rPr>
          <w:rFonts w:hint="eastAsia" w:ascii="方正黑体_GBK" w:hAnsi="方正黑体_GBK" w:eastAsia="方正黑体_GBK" w:cs="方正黑体_GBK"/>
          <w:b/>
          <w:bCs w:val="0"/>
          <w:sz w:val="32"/>
          <w:szCs w:val="32"/>
          <w:lang w:val="en-US" w:eastAsia="zh-CN"/>
        </w:rPr>
      </w:pPr>
      <w:r>
        <w:rPr>
          <w:rFonts w:hint="eastAsia" w:ascii="方正黑体_GBK" w:hAnsi="方正黑体_GBK" w:eastAsia="方正黑体_GBK" w:cs="方正黑体_GBK"/>
          <w:b/>
          <w:bCs w:val="0"/>
          <w:sz w:val="32"/>
          <w:szCs w:val="32"/>
          <w:lang w:val="en-US" w:eastAsia="zh-CN"/>
        </w:rPr>
        <w:t>附件1</w:t>
      </w:r>
    </w:p>
    <w:p w14:paraId="04E8ECA7">
      <w:pPr>
        <w:keepNext w:val="0"/>
        <w:keepLines w:val="0"/>
        <w:widowControl/>
        <w:suppressLineNumbers w:val="0"/>
        <w:jc w:val="left"/>
        <w:rPr>
          <w:rFonts w:hint="eastAsia" w:ascii="方正黑体_GBK" w:hAnsi="方正黑体_GBK" w:eastAsia="方正黑体_GBK" w:cs="方正黑体_GBK"/>
          <w:b/>
          <w:bCs w:val="0"/>
          <w:sz w:val="32"/>
          <w:szCs w:val="32"/>
          <w:lang w:val="en-US" w:eastAsia="zh-CN"/>
        </w:rPr>
      </w:pPr>
    </w:p>
    <w:p w14:paraId="168058C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10" w:afterAutospacing="0" w:line="480" w:lineRule="exact"/>
        <w:ind w:left="0" w:right="0" w:firstLine="0"/>
        <w:jc w:val="center"/>
        <w:textAlignment w:val="auto"/>
        <w:rPr>
          <w:rFonts w:hint="eastAsia" w:ascii="Times New Roman" w:hAnsi="Times New Roman" w:eastAsia="方正小标宋_GBK" w:cs="Times New Roman"/>
          <w:b/>
          <w:bCs w:val="0"/>
          <w:kern w:val="2"/>
          <w:sz w:val="36"/>
          <w:szCs w:val="36"/>
          <w:lang w:val="en-US" w:eastAsia="zh-CN" w:bidi="ar-SA"/>
        </w:rPr>
      </w:pPr>
      <w:r>
        <w:rPr>
          <w:rFonts w:hint="eastAsia" w:ascii="Times New Roman" w:hAnsi="Times New Roman" w:eastAsia="方正小标宋_GBK" w:cs="Times New Roman"/>
          <w:b/>
          <w:bCs w:val="0"/>
          <w:kern w:val="2"/>
          <w:sz w:val="36"/>
          <w:szCs w:val="36"/>
          <w:lang w:val="en-US" w:eastAsia="zh-CN" w:bidi="ar-SA"/>
        </w:rPr>
        <w:t>关于征集第十二届(2021－2024)</w:t>
      </w:r>
    </w:p>
    <w:p w14:paraId="466D033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210" w:afterAutospacing="0" w:line="480" w:lineRule="exact"/>
        <w:ind w:left="0" w:right="0" w:firstLine="0"/>
        <w:jc w:val="center"/>
        <w:textAlignment w:val="auto"/>
        <w:rPr>
          <w:rFonts w:hint="eastAsia" w:ascii="Times New Roman" w:hAnsi="Times New Roman" w:eastAsia="方正小标宋_GBK" w:cs="Times New Roman"/>
          <w:b/>
          <w:bCs w:val="0"/>
          <w:kern w:val="2"/>
          <w:sz w:val="36"/>
          <w:szCs w:val="36"/>
          <w:lang w:val="en-US" w:eastAsia="zh-CN" w:bidi="ar-SA"/>
        </w:rPr>
      </w:pPr>
      <w:r>
        <w:rPr>
          <w:rFonts w:hint="eastAsia" w:ascii="Times New Roman" w:hAnsi="Times New Roman" w:eastAsia="方正小标宋_GBK" w:cs="Times New Roman"/>
          <w:b/>
          <w:bCs w:val="0"/>
          <w:kern w:val="2"/>
          <w:sz w:val="36"/>
          <w:szCs w:val="36"/>
          <w:lang w:val="en-US" w:eastAsia="zh-CN" w:bidi="ar-SA"/>
        </w:rPr>
        <w:t>全国优秀儿童文学奖参评作品的公告</w:t>
      </w:r>
    </w:p>
    <w:p w14:paraId="17DECCC8">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sz w:val="30"/>
          <w:szCs w:val="30"/>
        </w:rPr>
        <w:t>现将第十二届全国优秀儿童文学奖征集参评作品事宜公告如下：</w:t>
      </w:r>
    </w:p>
    <w:p w14:paraId="33902E34">
      <w:pPr>
        <w:keepNext w:val="0"/>
        <w:keepLines w:val="0"/>
        <w:pageBreakBefore w:val="0"/>
        <w:widowControl w:val="0"/>
        <w:kinsoku/>
        <w:overflowPunct/>
        <w:topLinePunct w:val="0"/>
        <w:autoSpaceDE/>
        <w:autoSpaceDN/>
        <w:bidi w:val="0"/>
        <w:adjustRightInd/>
        <w:snapToGrid/>
        <w:spacing w:line="520" w:lineRule="exact"/>
        <w:ind w:firstLine="602" w:firstLineChars="200"/>
        <w:textAlignment w:val="auto"/>
        <w:rPr>
          <w:b/>
          <w:bCs/>
          <w:sz w:val="30"/>
          <w:szCs w:val="30"/>
        </w:rPr>
      </w:pPr>
      <w:r>
        <w:rPr>
          <w:b/>
          <w:bCs/>
          <w:sz w:val="30"/>
          <w:szCs w:val="30"/>
        </w:rPr>
        <w:t>一、评选体裁、门类</w:t>
      </w:r>
    </w:p>
    <w:p w14:paraId="0E9AE4BA">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sz w:val="30"/>
          <w:szCs w:val="30"/>
        </w:rPr>
        <w:t>全国优秀儿童文学奖评选体裁、门类包括：小说、诗歌（含散文诗）、童话、寓言、散文、报告文学（含纪实文学、传记文学)、科幻文学、幼儿文学、儿童绘本。为鼓励文学新人，设青年作者短篇佳作奖。</w:t>
      </w:r>
    </w:p>
    <w:p w14:paraId="1C462C8D">
      <w:pPr>
        <w:keepNext w:val="0"/>
        <w:keepLines w:val="0"/>
        <w:pageBreakBefore w:val="0"/>
        <w:widowControl w:val="0"/>
        <w:kinsoku/>
        <w:overflowPunct/>
        <w:topLinePunct w:val="0"/>
        <w:autoSpaceDE/>
        <w:autoSpaceDN/>
        <w:bidi w:val="0"/>
        <w:adjustRightInd/>
        <w:snapToGrid/>
        <w:spacing w:line="520" w:lineRule="exact"/>
        <w:ind w:firstLine="602" w:firstLineChars="200"/>
        <w:textAlignment w:val="auto"/>
        <w:rPr>
          <w:b/>
          <w:bCs/>
          <w:sz w:val="30"/>
          <w:szCs w:val="30"/>
        </w:rPr>
      </w:pPr>
      <w:r>
        <w:rPr>
          <w:b/>
          <w:bCs/>
          <w:sz w:val="30"/>
          <w:szCs w:val="30"/>
        </w:rPr>
        <w:t>二、征集范围</w:t>
      </w:r>
    </w:p>
    <w:p w14:paraId="030406AE">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sz w:val="30"/>
          <w:szCs w:val="30"/>
        </w:rPr>
        <w:t>第十二届全国优秀儿童文学奖参评作品应为2021年1月1日至2024年12月31日期间，首次公开出版和发表，出版和发表地在中国大陆地区，符合评选体裁、门类要求的儿童文学作品。</w:t>
      </w:r>
    </w:p>
    <w:p w14:paraId="39B0AD50">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sz w:val="30"/>
          <w:szCs w:val="30"/>
        </w:rPr>
        <w:t>各体裁、门类作品均以单行本参评，须具有图书在版编目(CIP)数据，出版时间以版权页标明的第一次出版时间为准。结集作品中，出版年月前四年内发表的作品须占全书字数的三分之二以上。若书中未予明确标识，须另附列表，注明每篇作品写作或首次发表的日期，由推荐单位证明属实，加盖公章。不接受多人合集或一人多体裁合集参评。套系作品须以单本参评，多卷本作品应以全书参评。</w:t>
      </w:r>
    </w:p>
    <w:p w14:paraId="5D6A89D3">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sz w:val="30"/>
          <w:szCs w:val="30"/>
        </w:rPr>
        <w:t>儿童绘本的文字和图画作者均须具有中国国籍。</w:t>
      </w:r>
    </w:p>
    <w:p w14:paraId="59AAB858">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sz w:val="30"/>
          <w:szCs w:val="30"/>
        </w:rPr>
        <w:t>青年作者短篇佳作奖参评作品，为各体裁、门类的儿童文学短篇作品，字数不超过1万字，作者出生日期应在1989年1月1日（含）之后。</w:t>
      </w:r>
    </w:p>
    <w:p w14:paraId="2E0861E5">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sz w:val="30"/>
          <w:szCs w:val="30"/>
        </w:rPr>
        <w:t>用少数民族文字创作的儿童文学作品，以汉文译本参评。</w:t>
      </w:r>
    </w:p>
    <w:p w14:paraId="0E9C06EA">
      <w:pPr>
        <w:keepNext w:val="0"/>
        <w:keepLines w:val="0"/>
        <w:pageBreakBefore w:val="0"/>
        <w:widowControl w:val="0"/>
        <w:kinsoku/>
        <w:overflowPunct/>
        <w:topLinePunct w:val="0"/>
        <w:autoSpaceDE/>
        <w:autoSpaceDN/>
        <w:bidi w:val="0"/>
        <w:adjustRightInd/>
        <w:snapToGrid/>
        <w:spacing w:line="520" w:lineRule="exact"/>
        <w:ind w:firstLine="602" w:firstLineChars="200"/>
        <w:textAlignment w:val="auto"/>
        <w:rPr>
          <w:b/>
          <w:bCs/>
          <w:sz w:val="30"/>
          <w:szCs w:val="30"/>
        </w:rPr>
      </w:pPr>
      <w:r>
        <w:rPr>
          <w:b/>
          <w:bCs/>
          <w:sz w:val="30"/>
          <w:szCs w:val="30"/>
        </w:rPr>
        <w:t>三、征集办法及时间</w:t>
      </w:r>
    </w:p>
    <w:p w14:paraId="2BE9A6A3">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sz w:val="30"/>
          <w:szCs w:val="30"/>
        </w:rPr>
        <w:t>第十二届全国优秀儿童文学奖参评作品征集工作由第十二届全国优秀儿童文学奖评奖办公室负责。</w:t>
      </w:r>
    </w:p>
    <w:p w14:paraId="5EA610B9">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sz w:val="30"/>
          <w:szCs w:val="30"/>
        </w:rPr>
        <w:t>中国作家协会各团体会员单位，中央军委政治工作部宣传局，各专业少年儿童出版社、报刊社及出版儿童文学作品的其他出版社、报刊社在征得作者同意后推荐参评作品。</w:t>
      </w:r>
    </w:p>
    <w:p w14:paraId="3FCE3A0D">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sz w:val="30"/>
          <w:szCs w:val="30"/>
        </w:rPr>
        <w:t>符合条件的作者可向上述单位提出参评要求，评奖办公室不接受个人申报。</w:t>
      </w:r>
    </w:p>
    <w:p w14:paraId="30B09AF0">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sz w:val="30"/>
          <w:szCs w:val="30"/>
        </w:rPr>
        <w:t>中国作家协会团体会员单位、中央军委政治工作部宣传局，可推荐各体裁、门类及青年作者短篇佳作奖参评作品，限额8部（篇）；出版社可推荐各体裁、门类参评作品，专业少年儿童出版社限额8部，其他出版社限额3部；报刊社可推荐青年作者短篇佳作奖参评作品，专业少年儿童报刊社限额3篇，其他相关报刊社限额1篇。</w:t>
      </w:r>
    </w:p>
    <w:p w14:paraId="50AB2C54">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sz w:val="30"/>
          <w:szCs w:val="30"/>
        </w:rPr>
        <w:t>各单位按要求填写推荐作品目录及参评作品推荐表，加盖公章，推荐表须由作者在相关栏目内签字。相关表格可登录中国作家网www.chinawriter.com.cn下载。</w:t>
      </w:r>
    </w:p>
    <w:p w14:paraId="575C8A55">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sz w:val="30"/>
          <w:szCs w:val="30"/>
        </w:rPr>
        <w:t>参评作品每部（篇）须寄送样书15册（份）。</w:t>
      </w:r>
    </w:p>
    <w:p w14:paraId="05BB8C47">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sz w:val="30"/>
          <w:szCs w:val="30"/>
        </w:rPr>
        <w:t>参评青年作者短篇佳作奖和儿童绘本作品的作者，须同时提供身份证正反面复印件，注明用于参评第十二届全国优秀儿童文学奖，并签署日期。</w:t>
      </w:r>
    </w:p>
    <w:p w14:paraId="7E2D15B0">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sz w:val="30"/>
          <w:szCs w:val="30"/>
        </w:rPr>
        <w:t>纸质推荐作品目录、参评作品推荐表各一份，寄送评奖办公室，同时报送电子版至指定邮箱。有关材料和样书特快专递寄至评奖办公室，在邮件外部标明参评类别，如“小说”“青年作者短篇佳作”等，勿用包裹。</w:t>
      </w:r>
    </w:p>
    <w:p w14:paraId="50EAA6A1">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sz w:val="30"/>
          <w:szCs w:val="30"/>
        </w:rPr>
        <w:t>参评作品推荐截止时间为2025年5月31日，以纸质材料寄出时间为准。</w:t>
      </w:r>
    </w:p>
    <w:p w14:paraId="66232F4A">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sz w:val="30"/>
          <w:szCs w:val="30"/>
        </w:rPr>
        <w:t>参评作品目录经初步审核后公示。如发现不符合参评条件，评奖办公室取消有关作品的参评资格。</w:t>
      </w:r>
    </w:p>
    <w:p w14:paraId="3BD1BD72">
      <w:pPr>
        <w:keepNext w:val="0"/>
        <w:keepLines w:val="0"/>
        <w:pageBreakBefore w:val="0"/>
        <w:widowControl w:val="0"/>
        <w:kinsoku/>
        <w:overflowPunct/>
        <w:topLinePunct w:val="0"/>
        <w:autoSpaceDE/>
        <w:autoSpaceDN/>
        <w:bidi w:val="0"/>
        <w:adjustRightInd/>
        <w:snapToGrid/>
        <w:spacing w:line="520" w:lineRule="exact"/>
        <w:ind w:firstLine="602" w:firstLineChars="200"/>
        <w:textAlignment w:val="auto"/>
        <w:rPr>
          <w:b/>
          <w:bCs/>
          <w:sz w:val="30"/>
          <w:szCs w:val="30"/>
        </w:rPr>
      </w:pPr>
      <w:r>
        <w:rPr>
          <w:b/>
          <w:bCs/>
          <w:sz w:val="30"/>
          <w:szCs w:val="30"/>
        </w:rPr>
        <w:t>四、评奖办公室联系方式</w:t>
      </w:r>
    </w:p>
    <w:p w14:paraId="79F079E9">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sz w:val="30"/>
          <w:szCs w:val="30"/>
        </w:rPr>
        <w:t>邮寄地址：北京市朝阳区东土城路25号中国作家协会第十二届全国优秀儿童文学奖评奖办公室</w:t>
      </w:r>
    </w:p>
    <w:p w14:paraId="0C03F9C7">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sz w:val="30"/>
          <w:szCs w:val="30"/>
        </w:rPr>
        <w:t>邮编：100013</w:t>
      </w:r>
    </w:p>
    <w:p w14:paraId="7E18B177">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sz w:val="30"/>
          <w:szCs w:val="30"/>
        </w:rPr>
        <w:t>电话：010－64489815、64489978</w:t>
      </w:r>
    </w:p>
    <w:p w14:paraId="1452A860">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sz w:val="30"/>
          <w:szCs w:val="30"/>
        </w:rPr>
        <w:t>邮箱：etwxj2025@163.com</w:t>
      </w:r>
    </w:p>
    <w:p w14:paraId="46797395">
      <w:pPr>
        <w:keepNext w:val="0"/>
        <w:keepLines w:val="0"/>
        <w:pageBreakBefore w:val="0"/>
        <w:widowControl w:val="0"/>
        <w:kinsoku/>
        <w:overflowPunct/>
        <w:topLinePunct w:val="0"/>
        <w:autoSpaceDE/>
        <w:autoSpaceDN/>
        <w:bidi w:val="0"/>
        <w:adjustRightInd/>
        <w:snapToGrid/>
        <w:spacing w:line="520" w:lineRule="exact"/>
        <w:ind w:firstLine="600" w:firstLineChars="200"/>
        <w:textAlignment w:val="auto"/>
        <w:rPr>
          <w:sz w:val="30"/>
          <w:szCs w:val="30"/>
        </w:rPr>
      </w:pPr>
      <w:r>
        <w:rPr>
          <w:sz w:val="30"/>
          <w:szCs w:val="30"/>
        </w:rPr>
        <w:t>对各推荐单位和作者的协作支持，谨致衷心感谢！</w:t>
      </w:r>
    </w:p>
    <w:p w14:paraId="06ECEAD0">
      <w:pPr>
        <w:keepNext w:val="0"/>
        <w:keepLines w:val="0"/>
        <w:pageBreakBefore w:val="0"/>
        <w:widowControl w:val="0"/>
        <w:kinsoku/>
        <w:overflowPunct/>
        <w:topLinePunct w:val="0"/>
        <w:autoSpaceDE/>
        <w:autoSpaceDN/>
        <w:bidi w:val="0"/>
        <w:adjustRightInd/>
        <w:snapToGrid/>
        <w:spacing w:line="520" w:lineRule="exact"/>
        <w:textAlignment w:val="auto"/>
        <w:rPr>
          <w:sz w:val="30"/>
          <w:szCs w:val="30"/>
        </w:rPr>
      </w:pPr>
    </w:p>
    <w:p w14:paraId="7DB18ADE">
      <w:pPr>
        <w:keepNext w:val="0"/>
        <w:keepLines w:val="0"/>
        <w:pageBreakBefore w:val="0"/>
        <w:widowControl w:val="0"/>
        <w:kinsoku/>
        <w:wordWrap w:val="0"/>
        <w:overflowPunct/>
        <w:topLinePunct w:val="0"/>
        <w:autoSpaceDE/>
        <w:autoSpaceDN/>
        <w:bidi w:val="0"/>
        <w:adjustRightInd/>
        <w:snapToGrid/>
        <w:spacing w:line="520" w:lineRule="exact"/>
        <w:ind w:firstLine="600" w:firstLineChars="200"/>
        <w:jc w:val="right"/>
        <w:textAlignment w:val="auto"/>
        <w:rPr>
          <w:rFonts w:hint="default" w:eastAsia="宋体"/>
          <w:sz w:val="30"/>
          <w:szCs w:val="30"/>
          <w:lang w:val="en-US" w:eastAsia="zh-CN"/>
        </w:rPr>
      </w:pPr>
      <w:r>
        <w:rPr>
          <w:sz w:val="30"/>
          <w:szCs w:val="30"/>
        </w:rPr>
        <w:t>第十二届全国优秀儿童文学奖评奖办公室</w:t>
      </w:r>
      <w:r>
        <w:rPr>
          <w:rFonts w:hint="eastAsia"/>
          <w:sz w:val="30"/>
          <w:szCs w:val="30"/>
          <w:lang w:val="en-US" w:eastAsia="zh-CN"/>
        </w:rPr>
        <w:t xml:space="preserve">  </w:t>
      </w:r>
    </w:p>
    <w:p w14:paraId="706B3855">
      <w:pPr>
        <w:keepNext w:val="0"/>
        <w:keepLines w:val="0"/>
        <w:pageBreakBefore w:val="0"/>
        <w:widowControl w:val="0"/>
        <w:kinsoku/>
        <w:wordWrap w:val="0"/>
        <w:overflowPunct/>
        <w:topLinePunct w:val="0"/>
        <w:autoSpaceDE/>
        <w:autoSpaceDN/>
        <w:bidi w:val="0"/>
        <w:adjustRightInd/>
        <w:snapToGrid/>
        <w:spacing w:line="520" w:lineRule="exact"/>
        <w:jc w:val="right"/>
        <w:textAlignment w:val="auto"/>
        <w:rPr>
          <w:rFonts w:hint="eastAsia"/>
          <w:sz w:val="30"/>
          <w:szCs w:val="30"/>
          <w:lang w:val="en-US" w:eastAsia="zh-CN"/>
        </w:rPr>
      </w:pPr>
      <w:r>
        <w:rPr>
          <w:sz w:val="30"/>
          <w:szCs w:val="30"/>
        </w:rPr>
        <w:t>2025年4月11日</w:t>
      </w:r>
      <w:r>
        <w:rPr>
          <w:rFonts w:hint="eastAsia"/>
          <w:sz w:val="30"/>
          <w:szCs w:val="30"/>
          <w:lang w:val="en-US" w:eastAsia="zh-CN"/>
        </w:rPr>
        <w:t xml:space="preserve">    </w:t>
      </w:r>
    </w:p>
    <w:p w14:paraId="5178AF07">
      <w:pPr>
        <w:keepNext w:val="0"/>
        <w:keepLines w:val="0"/>
        <w:pageBreakBefore w:val="0"/>
        <w:widowControl w:val="0"/>
        <w:kinsoku/>
        <w:wordWrap/>
        <w:overflowPunct/>
        <w:topLinePunct w:val="0"/>
        <w:autoSpaceDE/>
        <w:autoSpaceDN/>
        <w:bidi w:val="0"/>
        <w:adjustRightInd/>
        <w:snapToGrid/>
        <w:spacing w:line="520" w:lineRule="exact"/>
        <w:jc w:val="right"/>
        <w:textAlignment w:val="auto"/>
        <w:rPr>
          <w:rFonts w:hint="eastAsia"/>
          <w:sz w:val="30"/>
          <w:szCs w:val="30"/>
          <w:lang w:val="en-US" w:eastAsia="zh-CN"/>
        </w:rPr>
      </w:pPr>
    </w:p>
    <w:p w14:paraId="6EA4A37D">
      <w:pPr>
        <w:keepNext w:val="0"/>
        <w:keepLines w:val="0"/>
        <w:pageBreakBefore w:val="0"/>
        <w:widowControl w:val="0"/>
        <w:kinsoku/>
        <w:wordWrap/>
        <w:overflowPunct/>
        <w:topLinePunct w:val="0"/>
        <w:autoSpaceDE/>
        <w:autoSpaceDN/>
        <w:bidi w:val="0"/>
        <w:adjustRightInd/>
        <w:snapToGrid/>
        <w:spacing w:line="520" w:lineRule="exact"/>
        <w:jc w:val="right"/>
        <w:textAlignment w:val="auto"/>
        <w:rPr>
          <w:rFonts w:hint="eastAsia"/>
          <w:sz w:val="30"/>
          <w:szCs w:val="30"/>
          <w:lang w:val="en-US" w:eastAsia="zh-CN"/>
        </w:rPr>
      </w:pPr>
    </w:p>
    <w:p w14:paraId="2F347801">
      <w:pPr>
        <w:keepNext w:val="0"/>
        <w:keepLines w:val="0"/>
        <w:pageBreakBefore w:val="0"/>
        <w:widowControl w:val="0"/>
        <w:kinsoku/>
        <w:wordWrap/>
        <w:overflowPunct/>
        <w:topLinePunct w:val="0"/>
        <w:autoSpaceDE/>
        <w:autoSpaceDN/>
        <w:bidi w:val="0"/>
        <w:adjustRightInd/>
        <w:snapToGrid/>
        <w:spacing w:line="520" w:lineRule="exact"/>
        <w:jc w:val="right"/>
        <w:textAlignment w:val="auto"/>
        <w:rPr>
          <w:rFonts w:hint="eastAsia"/>
          <w:sz w:val="30"/>
          <w:szCs w:val="30"/>
          <w:lang w:val="en-US" w:eastAsia="zh-CN"/>
        </w:rPr>
      </w:pPr>
    </w:p>
    <w:p w14:paraId="1BF4D845">
      <w:pPr>
        <w:keepNext w:val="0"/>
        <w:keepLines w:val="0"/>
        <w:pageBreakBefore w:val="0"/>
        <w:widowControl w:val="0"/>
        <w:kinsoku/>
        <w:wordWrap/>
        <w:overflowPunct/>
        <w:topLinePunct w:val="0"/>
        <w:autoSpaceDE/>
        <w:autoSpaceDN/>
        <w:bidi w:val="0"/>
        <w:adjustRightInd/>
        <w:snapToGrid/>
        <w:spacing w:line="520" w:lineRule="exact"/>
        <w:jc w:val="right"/>
        <w:textAlignment w:val="auto"/>
        <w:rPr>
          <w:rFonts w:hint="eastAsia"/>
          <w:sz w:val="30"/>
          <w:szCs w:val="30"/>
          <w:lang w:val="en-US" w:eastAsia="zh-CN"/>
        </w:rPr>
      </w:pPr>
    </w:p>
    <w:p w14:paraId="3EE4FA40">
      <w:pPr>
        <w:keepNext w:val="0"/>
        <w:keepLines w:val="0"/>
        <w:pageBreakBefore w:val="0"/>
        <w:widowControl w:val="0"/>
        <w:kinsoku/>
        <w:wordWrap/>
        <w:overflowPunct/>
        <w:topLinePunct w:val="0"/>
        <w:autoSpaceDE/>
        <w:autoSpaceDN/>
        <w:bidi w:val="0"/>
        <w:adjustRightInd/>
        <w:snapToGrid/>
        <w:spacing w:line="520" w:lineRule="exact"/>
        <w:jc w:val="right"/>
        <w:textAlignment w:val="auto"/>
        <w:rPr>
          <w:rFonts w:hint="eastAsia"/>
          <w:sz w:val="30"/>
          <w:szCs w:val="30"/>
          <w:lang w:val="en-US" w:eastAsia="zh-CN"/>
        </w:rPr>
      </w:pPr>
    </w:p>
    <w:p w14:paraId="2E036B9D">
      <w:pPr>
        <w:keepNext w:val="0"/>
        <w:keepLines w:val="0"/>
        <w:pageBreakBefore w:val="0"/>
        <w:widowControl w:val="0"/>
        <w:kinsoku/>
        <w:wordWrap/>
        <w:overflowPunct/>
        <w:topLinePunct w:val="0"/>
        <w:autoSpaceDE/>
        <w:autoSpaceDN/>
        <w:bidi w:val="0"/>
        <w:adjustRightInd/>
        <w:snapToGrid/>
        <w:spacing w:line="520" w:lineRule="exact"/>
        <w:jc w:val="right"/>
        <w:textAlignment w:val="auto"/>
        <w:rPr>
          <w:rFonts w:hint="eastAsia"/>
          <w:sz w:val="30"/>
          <w:szCs w:val="30"/>
          <w:lang w:val="en-US" w:eastAsia="zh-CN"/>
        </w:rPr>
      </w:pPr>
    </w:p>
    <w:p w14:paraId="555EE673">
      <w:pPr>
        <w:keepNext w:val="0"/>
        <w:keepLines w:val="0"/>
        <w:pageBreakBefore w:val="0"/>
        <w:widowControl w:val="0"/>
        <w:kinsoku/>
        <w:wordWrap/>
        <w:overflowPunct/>
        <w:topLinePunct w:val="0"/>
        <w:autoSpaceDE/>
        <w:autoSpaceDN/>
        <w:bidi w:val="0"/>
        <w:adjustRightInd/>
        <w:snapToGrid/>
        <w:spacing w:line="520" w:lineRule="exact"/>
        <w:jc w:val="right"/>
        <w:textAlignment w:val="auto"/>
        <w:rPr>
          <w:rFonts w:hint="eastAsia"/>
          <w:sz w:val="30"/>
          <w:szCs w:val="30"/>
          <w:lang w:val="en-US" w:eastAsia="zh-CN"/>
        </w:rPr>
      </w:pPr>
    </w:p>
    <w:p w14:paraId="3262F436">
      <w:pPr>
        <w:keepNext w:val="0"/>
        <w:keepLines w:val="0"/>
        <w:pageBreakBefore w:val="0"/>
        <w:widowControl w:val="0"/>
        <w:kinsoku/>
        <w:overflowPunct/>
        <w:topLinePunct w:val="0"/>
        <w:autoSpaceDE/>
        <w:autoSpaceDN/>
        <w:bidi w:val="0"/>
        <w:adjustRightInd/>
        <w:snapToGrid/>
        <w:spacing w:line="520" w:lineRule="exact"/>
        <w:textAlignment w:val="auto"/>
        <w:rPr>
          <w:rFonts w:hint="default"/>
          <w:sz w:val="30"/>
          <w:szCs w:val="30"/>
          <w:lang w:val="en-US" w:eastAsia="zh-CN"/>
        </w:rPr>
      </w:pPr>
      <w:bookmarkStart w:id="0" w:name="_GoBack"/>
      <w:bookmarkEnd w:id="0"/>
    </w:p>
    <w:sectPr>
      <w:headerReference r:id="rId5" w:type="first"/>
      <w:footerReference r:id="rId8" w:type="first"/>
      <w:headerReference r:id="rId3" w:type="default"/>
      <w:footerReference r:id="rId6" w:type="default"/>
      <w:headerReference r:id="rId4" w:type="even"/>
      <w:footerReference r:id="rId7" w:type="even"/>
      <w:pgSz w:w="11906" w:h="16838"/>
      <w:pgMar w:top="1871" w:right="1701" w:bottom="1701" w:left="170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Luxi Sa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_GBK">
    <w:panose1 w:val="02000000000000000000"/>
    <w:charset w:val="86"/>
    <w:family w:val="script"/>
    <w:pitch w:val="default"/>
    <w:sig w:usb0="00000001" w:usb1="080E0000" w:usb2="00000000" w:usb3="00000000" w:csb0="00040000" w:csb1="00000000"/>
    <w:embedRegular r:id="rId1" w:fontKey="{9B7F1864-038E-4573-80BB-1D7596655134}"/>
  </w:font>
  <w:font w:name="方正仿宋简体">
    <w:altName w:val="微软雅黑"/>
    <w:panose1 w:val="02000000000000000000"/>
    <w:charset w:val="86"/>
    <w:family w:val="script"/>
    <w:pitch w:val="default"/>
    <w:sig w:usb0="00000000" w:usb1="00000000" w:usb2="00000012" w:usb3="00000000" w:csb0="00040001" w:csb1="00000000"/>
  </w:font>
  <w:font w:name="方正仿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embedRegular r:id="rId2" w:fontKey="{57E41C59-8B9A-4D67-A1C2-CBFCCC27990A}"/>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4ADBA3">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63B3C">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F7A5BA">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8E201F">
    <w:pPr>
      <w:pStyle w:val="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FE5A68">
    <w:pPr>
      <w:pStyle w:val="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EAA3D0">
    <w:pPr>
      <w:pStyle w:val="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8"/>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02B"/>
    <w:rsid w:val="00116418"/>
    <w:rsid w:val="00400066"/>
    <w:rsid w:val="00ED602B"/>
    <w:rsid w:val="01AF70E0"/>
    <w:rsid w:val="08E7660F"/>
    <w:rsid w:val="09364775"/>
    <w:rsid w:val="0BEB6F66"/>
    <w:rsid w:val="12DF75E1"/>
    <w:rsid w:val="142B55CD"/>
    <w:rsid w:val="14924593"/>
    <w:rsid w:val="14AC6436"/>
    <w:rsid w:val="15D54412"/>
    <w:rsid w:val="17CA756C"/>
    <w:rsid w:val="18F41454"/>
    <w:rsid w:val="19AF0674"/>
    <w:rsid w:val="1A6D1CC8"/>
    <w:rsid w:val="1A982262"/>
    <w:rsid w:val="1DF45440"/>
    <w:rsid w:val="1E7E1EBC"/>
    <w:rsid w:val="1F2F30A5"/>
    <w:rsid w:val="208C6CA0"/>
    <w:rsid w:val="21FA714E"/>
    <w:rsid w:val="23D12C38"/>
    <w:rsid w:val="272560F0"/>
    <w:rsid w:val="27636E07"/>
    <w:rsid w:val="27AC64F0"/>
    <w:rsid w:val="2ACD0F1D"/>
    <w:rsid w:val="2B65682A"/>
    <w:rsid w:val="2BD06100"/>
    <w:rsid w:val="2CF4338A"/>
    <w:rsid w:val="2EFF57F6"/>
    <w:rsid w:val="33A82C56"/>
    <w:rsid w:val="367B6FB5"/>
    <w:rsid w:val="3A18450B"/>
    <w:rsid w:val="3C917532"/>
    <w:rsid w:val="3CA1529C"/>
    <w:rsid w:val="3D923F2A"/>
    <w:rsid w:val="3EE65F79"/>
    <w:rsid w:val="3FD33DE1"/>
    <w:rsid w:val="408B4299"/>
    <w:rsid w:val="41281AE7"/>
    <w:rsid w:val="44863BD7"/>
    <w:rsid w:val="47B642F1"/>
    <w:rsid w:val="49DF4E30"/>
    <w:rsid w:val="528C4035"/>
    <w:rsid w:val="54905ECA"/>
    <w:rsid w:val="567A43CB"/>
    <w:rsid w:val="57693433"/>
    <w:rsid w:val="57CF5E93"/>
    <w:rsid w:val="59403DF2"/>
    <w:rsid w:val="598040C8"/>
    <w:rsid w:val="5B0E0B2C"/>
    <w:rsid w:val="5E786506"/>
    <w:rsid w:val="614F1975"/>
    <w:rsid w:val="653C778A"/>
    <w:rsid w:val="6E0E1EE1"/>
    <w:rsid w:val="70741DA4"/>
    <w:rsid w:val="719B7F30"/>
    <w:rsid w:val="76102CAA"/>
    <w:rsid w:val="78614A1D"/>
    <w:rsid w:val="78A80771"/>
    <w:rsid w:val="7AFB303D"/>
    <w:rsid w:val="7D824D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qFormat/>
    <w:uiPriority w:val="0"/>
    <w:pPr>
      <w:widowControl/>
      <w:spacing w:before="100" w:beforeAutospacing="1" w:after="100" w:afterAutospacing="1"/>
      <w:jc w:val="left"/>
      <w:outlineLvl w:val="0"/>
    </w:pPr>
    <w:rPr>
      <w:rFonts w:ascii="宋体" w:cs="宋体"/>
      <w:b/>
      <w:bCs/>
      <w:kern w:val="36"/>
      <w:sz w:val="48"/>
      <w:szCs w:val="48"/>
    </w:rPr>
  </w:style>
  <w:style w:type="paragraph" w:styleId="3">
    <w:name w:val="heading 2"/>
    <w:basedOn w:val="1"/>
    <w:next w:val="1"/>
    <w:qFormat/>
    <w:uiPriority w:val="0"/>
    <w:pPr>
      <w:keepNext/>
      <w:keepLines/>
      <w:spacing w:before="260" w:after="260" w:line="415" w:lineRule="auto"/>
      <w:outlineLvl w:val="1"/>
    </w:pPr>
    <w:rPr>
      <w:rFonts w:ascii="Luxi Sans" w:hAnsi="Luxi Sans" w:eastAsia="黑体"/>
      <w:b/>
      <w:sz w:val="32"/>
    </w:rPr>
  </w:style>
  <w:style w:type="paragraph" w:styleId="4">
    <w:name w:val="heading 3"/>
    <w:basedOn w:val="1"/>
    <w:next w:val="1"/>
    <w:qFormat/>
    <w:uiPriority w:val="0"/>
    <w:pPr>
      <w:keepNext/>
      <w:keepLines/>
      <w:spacing w:before="260" w:after="260" w:line="415" w:lineRule="auto"/>
      <w:outlineLvl w:val="2"/>
    </w:pPr>
    <w:rPr>
      <w:b/>
      <w:sz w:val="32"/>
    </w:rPr>
  </w:style>
  <w:style w:type="paragraph" w:styleId="5">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1">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6">
    <w:name w:val="Balloon Text"/>
    <w:basedOn w:val="1"/>
    <w:qFormat/>
    <w:uiPriority w:val="0"/>
    <w:rPr>
      <w:sz w:val="18"/>
      <w:szCs w:val="18"/>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widowControl/>
      <w:spacing w:before="100" w:beforeAutospacing="1" w:after="100" w:afterAutospacing="1"/>
      <w:jc w:val="left"/>
    </w:pPr>
    <w:rPr>
      <w:rFonts w:ascii="宋体" w:cs="宋体"/>
      <w:kern w:val="0"/>
      <w:sz w:val="24"/>
    </w:rPr>
  </w:style>
  <w:style w:type="character" w:styleId="12">
    <w:name w:val="Strong"/>
    <w:basedOn w:val="11"/>
    <w:qFormat/>
    <w:uiPriority w:val="0"/>
    <w:rPr>
      <w:b/>
      <w:bCs/>
    </w:rPr>
  </w:style>
  <w:style w:type="character" w:styleId="13">
    <w:name w:val="Emphasis"/>
    <w:basedOn w:val="11"/>
    <w:qFormat/>
    <w:uiPriority w:val="0"/>
    <w:rPr>
      <w:i/>
      <w:iCs/>
    </w:rPr>
  </w:style>
  <w:style w:type="character" w:styleId="14">
    <w:name w:val="Hyperlink"/>
    <w:basedOn w:val="11"/>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China</Company>
  <Pages>3</Pages>
  <Words>3719</Words>
  <Characters>3912</Characters>
  <Lines>3</Lines>
  <Paragraphs>1</Paragraphs>
  <TotalTime>6</TotalTime>
  <ScaleCrop>false</ScaleCrop>
  <LinksUpToDate>false</LinksUpToDate>
  <CharactersWithSpaces>3928</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2019-02-22T02:57:00Z</dcterms:created>
  <dc:creator>User</dc:creator>
  <cp:lastModifiedBy>-_-</cp:lastModifiedBy>
  <cp:lastPrinted>2025-04-14T04:16:00Z</cp:lastPrinted>
  <dcterms:modified xsi:type="dcterms:W3CDTF">2025-04-14T06:39:43Z</dcterms:modified>
  <cp:revision>75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eyJoZGlkIjoiMDM2NzNjYmRiMzFhNDRmMDFkZDZhZjAzMzZjMjE1MTUiLCJ1c2VySWQiOiIzNDk4NzIyODIifQ==</vt:lpwstr>
  </property>
  <property fmtid="{D5CDD505-2E9C-101B-9397-08002B2CF9AE}" pid="3" name="KSOProductBuildVer">
    <vt:lpwstr>2052-12.1.0.20305</vt:lpwstr>
  </property>
  <property fmtid="{D5CDD505-2E9C-101B-9397-08002B2CF9AE}" pid="4" name="ICV">
    <vt:lpwstr>0D83551B9A2C4A1E906BAFF720F899F6_13</vt:lpwstr>
  </property>
</Properties>
</file>