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4B839">
      <w:pPr>
        <w:keepNext w:val="0"/>
        <w:keepLines w:val="0"/>
        <w:pageBreakBefore w:val="0"/>
        <w:widowControl w:val="0"/>
        <w:kinsoku/>
        <w:overflowPunct/>
        <w:topLinePunct w:val="0"/>
        <w:autoSpaceDE/>
        <w:autoSpaceDN/>
        <w:bidi w:val="0"/>
        <w:adjustRightInd/>
        <w:snapToGrid/>
        <w:rPr>
          <w:rFonts w:hint="default" w:ascii="Times New Roman" w:hAnsi="Times New Roman" w:cs="Times New Roman"/>
          <w:color w:val="auto"/>
          <w:highlight w:val="none"/>
          <w:lang w:val="en-US" w:eastAsia="zh-CN" w:bidi="ar-SA"/>
        </w:rPr>
      </w:pPr>
    </w:p>
    <w:p w14:paraId="273F9E18">
      <w:pPr>
        <w:keepNext w:val="0"/>
        <w:keepLines w:val="0"/>
        <w:pageBreakBefore w:val="0"/>
        <w:widowControl w:val="0"/>
        <w:suppressAutoHyphens/>
        <w:kinsoku/>
        <w:wordWrap/>
        <w:overflowPunct/>
        <w:topLinePunct w:val="0"/>
        <w:autoSpaceDE/>
        <w:autoSpaceDN/>
        <w:bidi w:val="0"/>
        <w:adjustRightInd/>
        <w:snapToGrid/>
        <w:spacing w:line="576" w:lineRule="exact"/>
        <w:jc w:val="center"/>
        <w:textAlignment w:val="auto"/>
        <w:rPr>
          <w:rFonts w:hint="default" w:ascii="Times New Roman" w:hAnsi="Times New Roman" w:eastAsia="方正小标宋简体" w:cs="Times New Roman"/>
          <w:b/>
          <w:bCs/>
          <w:color w:val="auto"/>
          <w:sz w:val="44"/>
          <w:szCs w:val="44"/>
          <w:highlight w:val="none"/>
          <w:lang w:val="en-US" w:eastAsia="zh-CN" w:bidi="ar-SA"/>
        </w:rPr>
      </w:pPr>
      <w:bookmarkStart w:id="0" w:name="_GoBack"/>
      <w:r>
        <w:rPr>
          <w:rFonts w:hint="default" w:ascii="Times New Roman" w:hAnsi="Times New Roman" w:eastAsia="方正小标宋简体" w:cs="Times New Roman"/>
          <w:b/>
          <w:bCs/>
          <w:color w:val="auto"/>
          <w:sz w:val="44"/>
          <w:szCs w:val="44"/>
          <w:highlight w:val="none"/>
          <w:lang w:val="en-US" w:eastAsia="zh-CN" w:bidi="ar-SA"/>
        </w:rPr>
        <w:t>四川省作家协会</w:t>
      </w:r>
    </w:p>
    <w:p w14:paraId="4C42A9D4">
      <w:pPr>
        <w:keepNext w:val="0"/>
        <w:keepLines w:val="0"/>
        <w:pageBreakBefore w:val="0"/>
        <w:widowControl w:val="0"/>
        <w:suppressAutoHyphens/>
        <w:kinsoku/>
        <w:wordWrap/>
        <w:overflowPunct/>
        <w:topLinePunct w:val="0"/>
        <w:autoSpaceDE/>
        <w:autoSpaceDN/>
        <w:bidi w:val="0"/>
        <w:adjustRightInd/>
        <w:snapToGrid/>
        <w:spacing w:line="576" w:lineRule="exact"/>
        <w:jc w:val="center"/>
        <w:textAlignment w:val="auto"/>
        <w:rPr>
          <w:rFonts w:hint="default" w:ascii="Times New Roman" w:hAnsi="Times New Roman" w:eastAsia="方正小标宋简体" w:cs="Times New Roman"/>
          <w:b/>
          <w:bCs/>
          <w:color w:val="auto"/>
          <w:sz w:val="44"/>
          <w:szCs w:val="44"/>
          <w:highlight w:val="none"/>
          <w:lang w:val="en-US" w:eastAsia="zh-CN" w:bidi="ar-SA"/>
        </w:rPr>
      </w:pPr>
      <w:r>
        <w:rPr>
          <w:rFonts w:hint="default" w:ascii="Times New Roman" w:hAnsi="Times New Roman" w:eastAsia="方正小标宋简体" w:cs="Times New Roman"/>
          <w:b/>
          <w:bCs/>
          <w:color w:val="auto"/>
          <w:sz w:val="44"/>
          <w:szCs w:val="44"/>
          <w:highlight w:val="none"/>
          <w:lang w:val="en-US" w:eastAsia="zh-CN" w:bidi="ar-SA"/>
        </w:rPr>
        <w:t>“新时代四川文学百名作家攀登计划”和“新时代四川文学百部作品创作计划”实施方案</w:t>
      </w:r>
    </w:p>
    <w:bookmarkEnd w:id="0"/>
    <w:p w14:paraId="7760A905">
      <w:pPr>
        <w:keepNext w:val="0"/>
        <w:keepLines w:val="0"/>
        <w:pageBreakBefore w:val="0"/>
        <w:widowControl w:val="0"/>
        <w:suppressAutoHyphens/>
        <w:kinsoku/>
        <w:wordWrap/>
        <w:overflowPunct/>
        <w:topLinePunct w:val="0"/>
        <w:autoSpaceDE/>
        <w:autoSpaceDN/>
        <w:bidi w:val="0"/>
        <w:adjustRightInd/>
        <w:snapToGrid/>
        <w:spacing w:line="576" w:lineRule="exact"/>
        <w:jc w:val="center"/>
        <w:textAlignment w:val="auto"/>
        <w:rPr>
          <w:rFonts w:hint="default" w:ascii="Times New Roman" w:hAnsi="Times New Roman" w:eastAsia="方正仿宋_GBK" w:cs="Times New Roman"/>
          <w:b/>
          <w:bCs/>
          <w:color w:val="auto"/>
          <w:sz w:val="32"/>
          <w:szCs w:val="32"/>
          <w:highlight w:val="none"/>
          <w:lang w:val="en-US" w:eastAsia="zh-CN" w:bidi="ar-SA"/>
        </w:rPr>
      </w:pPr>
      <w:r>
        <w:rPr>
          <w:rFonts w:hint="eastAsia" w:ascii="Times New Roman" w:hAnsi="Times New Roman" w:eastAsia="方正仿宋_GBK" w:cs="Times New Roman"/>
          <w:b/>
          <w:bCs/>
          <w:color w:val="auto"/>
          <w:sz w:val="32"/>
          <w:szCs w:val="32"/>
          <w:highlight w:val="none"/>
          <w:lang w:val="en-US" w:eastAsia="zh-CN" w:bidi="ar-SA"/>
        </w:rPr>
        <w:t>（2026年4月27日党组会审议通过）</w:t>
      </w:r>
    </w:p>
    <w:p w14:paraId="17E95DD1">
      <w:pPr>
        <w:keepNext w:val="0"/>
        <w:keepLines w:val="0"/>
        <w:pageBreakBefore w:val="0"/>
        <w:widowControl w:val="0"/>
        <w:suppressAutoHyphens/>
        <w:kinsoku/>
        <w:wordWrap/>
        <w:overflowPunct/>
        <w:topLinePunct w:val="0"/>
        <w:autoSpaceDE/>
        <w:autoSpaceDN/>
        <w:bidi w:val="0"/>
        <w:adjustRightInd/>
        <w:snapToGrid/>
        <w:spacing w:after="120" w:line="576" w:lineRule="exact"/>
        <w:jc w:val="both"/>
        <w:textAlignment w:val="auto"/>
        <w:rPr>
          <w:rFonts w:hint="default" w:ascii="Times New Roman" w:hAnsi="Times New Roman" w:eastAsia="宋体" w:cs="Times New Roman"/>
          <w:color w:val="auto"/>
          <w:kern w:val="2"/>
          <w:sz w:val="21"/>
          <w:szCs w:val="22"/>
          <w:highlight w:val="none"/>
          <w:lang w:val="en-US" w:eastAsia="zh-CN" w:bidi="ar-SA"/>
        </w:rPr>
      </w:pPr>
    </w:p>
    <w:p w14:paraId="3B7029E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ascii="Times New Roman" w:hAnsi="Times New Roman" w:eastAsia="方正仿宋_GBK" w:cs="Times New Roman"/>
          <w:b/>
          <w:bCs/>
          <w:color w:val="auto"/>
          <w:sz w:val="32"/>
          <w:szCs w:val="32"/>
          <w:highlight w:val="none"/>
          <w:lang w:val="en-US" w:eastAsia="zh-CN" w:bidi="ar-SA"/>
        </w:rPr>
        <w:t>为深入贯彻党的二十大和二十届历次全会精神，认真践行习近平文化思想，全面落实省委十二届七次、八次</w:t>
      </w:r>
      <w:r>
        <w:rPr>
          <w:rFonts w:hint="eastAsia" w:eastAsia="方正仿宋_GBK" w:cs="Times New Roman"/>
          <w:b/>
          <w:bCs/>
          <w:color w:val="auto"/>
          <w:sz w:val="32"/>
          <w:szCs w:val="32"/>
          <w:highlight w:val="none"/>
          <w:lang w:val="en-US" w:eastAsia="zh-CN" w:bidi="ar-SA"/>
        </w:rPr>
        <w:t>、九次</w:t>
      </w:r>
      <w:r>
        <w:rPr>
          <w:rFonts w:hint="default" w:ascii="Times New Roman" w:hAnsi="Times New Roman" w:eastAsia="方正仿宋_GBK" w:cs="Times New Roman"/>
          <w:b/>
          <w:bCs/>
          <w:color w:val="auto"/>
          <w:sz w:val="32"/>
          <w:szCs w:val="32"/>
          <w:highlight w:val="none"/>
          <w:lang w:val="en-US" w:eastAsia="zh-CN" w:bidi="ar-SA"/>
        </w:rPr>
        <w:t>全会精神，聚焦四川文学人才培育与精品创作，对标中国作协“新时代山乡巨变创作计划”和“新时代文学攀登计</w:t>
      </w:r>
      <w:r>
        <w:rPr>
          <w:rFonts w:hint="default" w:eastAsia="方正仿宋_GBK"/>
          <w:b/>
          <w:bCs/>
          <w:sz w:val="32"/>
          <w:szCs w:val="32"/>
          <w:highlight w:val="none"/>
        </w:rPr>
        <w:t>划”，充分整合资源优势，实施“双百计划”，即“新时代四川文学百名作家攀登</w:t>
      </w:r>
      <w:r>
        <w:rPr>
          <w:rFonts w:hint="default" w:ascii="Times New Roman" w:hAnsi="Times New Roman" w:eastAsia="方正仿宋_GBK" w:cs="Times New Roman"/>
          <w:b/>
          <w:bCs/>
          <w:color w:val="auto"/>
          <w:sz w:val="32"/>
          <w:szCs w:val="32"/>
          <w:highlight w:val="none"/>
          <w:lang w:val="en-US" w:eastAsia="zh-CN" w:bidi="ar-SA"/>
        </w:rPr>
        <w:t>计划”（以下简称“百名作家攀登计划”）和“新时代四川文学百部作品创作计划”（以下简称“百部作品创作计划”），拟用5年时间，打造一支高水平</w:t>
      </w:r>
      <w:r>
        <w:rPr>
          <w:rFonts w:hint="eastAsia" w:eastAsia="方正仿宋_GBK" w:cs="Times New Roman"/>
          <w:b/>
          <w:bCs/>
          <w:color w:val="auto"/>
          <w:sz w:val="32"/>
          <w:szCs w:val="32"/>
          <w:highlight w:val="none"/>
          <w:lang w:val="en-US" w:eastAsia="zh-CN" w:bidi="ar-SA"/>
        </w:rPr>
        <w:t>的四川</w:t>
      </w:r>
      <w:r>
        <w:rPr>
          <w:rFonts w:hint="default" w:ascii="Times New Roman" w:hAnsi="Times New Roman" w:eastAsia="方正仿宋_GBK" w:cs="Times New Roman"/>
          <w:b/>
          <w:bCs/>
          <w:color w:val="auto"/>
          <w:sz w:val="32"/>
          <w:szCs w:val="32"/>
          <w:highlight w:val="none"/>
          <w:lang w:val="en-US" w:eastAsia="zh-CN" w:bidi="ar-SA"/>
        </w:rPr>
        <w:t>作家队伍，推出一批反映时代</w:t>
      </w:r>
      <w:r>
        <w:rPr>
          <w:rFonts w:hint="default" w:eastAsia="方正仿宋_GBK"/>
          <w:b/>
          <w:bCs/>
          <w:sz w:val="32"/>
          <w:szCs w:val="32"/>
          <w:highlight w:val="none"/>
        </w:rPr>
        <w:t>精神风貌、兼具巴蜀特质的文学精品，构建全链条文学工作体系，推动四川文学事业高质量发展。</w:t>
      </w:r>
    </w:p>
    <w:p w14:paraId="24EA3ABC">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一、总体目标</w:t>
      </w:r>
    </w:p>
    <w:p w14:paraId="19B916EE">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eastAsia="方正仿宋_GBK"/>
          <w:b/>
          <w:bCs/>
          <w:sz w:val="32"/>
          <w:szCs w:val="32"/>
          <w:highlight w:val="none"/>
        </w:rPr>
      </w:pPr>
      <w:r>
        <w:rPr>
          <w:rFonts w:hint="default" w:eastAsia="方正仿宋_GBK"/>
          <w:b/>
          <w:bCs/>
          <w:sz w:val="32"/>
          <w:szCs w:val="32"/>
          <w:highlight w:val="none"/>
        </w:rPr>
        <w:t>在省作协党组领导下，以创联部为“百名作家攀登计划”牵头单位</w:t>
      </w:r>
      <w:r>
        <w:rPr>
          <w:rFonts w:hint="eastAsia" w:eastAsia="方正仿宋_GBK"/>
          <w:b/>
          <w:bCs/>
          <w:sz w:val="32"/>
          <w:szCs w:val="32"/>
          <w:highlight w:val="none"/>
          <w:lang w:eastAsia="zh-CN"/>
        </w:rPr>
        <w:t>，</w:t>
      </w:r>
      <w:r>
        <w:rPr>
          <w:rFonts w:hint="default" w:eastAsia="方正仿宋_GBK"/>
          <w:b/>
          <w:bCs/>
          <w:sz w:val="32"/>
          <w:szCs w:val="32"/>
          <w:highlight w:val="none"/>
        </w:rPr>
        <w:t>创研室为“百部作品创作计划”牵头单位，各相关单位、部门做好工作配合</w:t>
      </w:r>
      <w:r>
        <w:rPr>
          <w:rFonts w:eastAsia="方正仿宋_GBK"/>
          <w:b/>
          <w:bCs/>
          <w:sz w:val="32"/>
          <w:szCs w:val="32"/>
          <w:highlight w:val="none"/>
        </w:rPr>
        <w:t>。</w:t>
      </w:r>
    </w:p>
    <w:p w14:paraId="6732EF2E">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通过“百名作家攀登计划”，建立每年度动态更新的作家库，五年内累计选拔不少于100名具有一定发展潜力的</w:t>
      </w:r>
      <w:r>
        <w:rPr>
          <w:rFonts w:eastAsia="方正仿宋_GBK"/>
          <w:b/>
          <w:bCs/>
          <w:sz w:val="32"/>
          <w:szCs w:val="32"/>
          <w:highlight w:val="none"/>
        </w:rPr>
        <w:t>中青年</w:t>
      </w:r>
      <w:r>
        <w:rPr>
          <w:rFonts w:hint="default" w:eastAsia="方正仿宋_GBK"/>
          <w:b/>
          <w:bCs/>
          <w:sz w:val="32"/>
          <w:szCs w:val="32"/>
          <w:highlight w:val="none"/>
        </w:rPr>
        <w:t>作家，夯实四川文学发展根基。</w:t>
      </w:r>
    </w:p>
    <w:p w14:paraId="7B8366B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通过“百部作品创作计划”，打造每年度动态调整的作品库，五年内累计选拔</w:t>
      </w:r>
      <w:r>
        <w:rPr>
          <w:rFonts w:eastAsia="方正仿宋_GBK"/>
          <w:b/>
          <w:bCs/>
          <w:sz w:val="32"/>
          <w:szCs w:val="32"/>
          <w:highlight w:val="none"/>
        </w:rPr>
        <w:t>不少于</w:t>
      </w:r>
      <w:r>
        <w:rPr>
          <w:rFonts w:hint="default" w:eastAsia="方正仿宋_GBK"/>
          <w:b/>
          <w:bCs/>
          <w:sz w:val="32"/>
          <w:szCs w:val="32"/>
          <w:highlight w:val="none"/>
        </w:rPr>
        <w:t>100部彰显时代精神的优秀文学作品，打造新时代四川文学品牌。</w:t>
      </w:r>
    </w:p>
    <w:p w14:paraId="2C494560">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两大计划同步推进、相互赋能，实现文学人才培育与精品创作双提升。</w:t>
      </w:r>
    </w:p>
    <w:p w14:paraId="45ED4943">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二、选拔管理机制</w:t>
      </w:r>
    </w:p>
    <w:p w14:paraId="4A937B9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“百名作家攀登计划”作家库和“百部作品创作计划”作品库均实行推荐、选拔、评审、动态增补调整机制。</w:t>
      </w:r>
    </w:p>
    <w:p w14:paraId="527D84AC">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（一）建立作家基础库、作品基础库</w:t>
      </w:r>
    </w:p>
    <w:p w14:paraId="46731CE9">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采取推荐、遴选方式，建立作家基础库和作品基础库。</w:t>
      </w:r>
    </w:p>
    <w:p w14:paraId="45AA43F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1.推荐方式</w:t>
      </w:r>
    </w:p>
    <w:p w14:paraId="3D33468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专家推荐：由省内外知名作家、文学批评家、出版家、文学期刊编辑等实名推荐。</w:t>
      </w:r>
    </w:p>
    <w:p w14:paraId="12129AE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各</w:t>
      </w:r>
      <w:r>
        <w:rPr>
          <w:rFonts w:hint="eastAsia" w:eastAsia="方正仿宋_GBK"/>
          <w:b/>
          <w:bCs/>
          <w:sz w:val="32"/>
          <w:szCs w:val="32"/>
          <w:highlight w:val="none"/>
          <w:lang w:eastAsia="zh-CN"/>
        </w:rPr>
        <w:t>团体会员等</w:t>
      </w:r>
      <w:r>
        <w:rPr>
          <w:rFonts w:hint="default" w:eastAsia="方正仿宋_GBK"/>
          <w:b/>
          <w:bCs/>
          <w:sz w:val="32"/>
          <w:szCs w:val="32"/>
          <w:highlight w:val="none"/>
        </w:rPr>
        <w:t>单位推荐：各市（州）作协、行业作协、文学社团等单位结合本地本行业实际推荐。</w:t>
      </w:r>
    </w:p>
    <w:p w14:paraId="542E3E50">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省作协专委会推荐：省作协各专业委员会根据文学门类特点，针对性推荐本领域优秀作家作品。</w:t>
      </w:r>
    </w:p>
    <w:p w14:paraId="4629B37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2.遴选方式</w:t>
      </w:r>
    </w:p>
    <w:p w14:paraId="090FB59D">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在</w:t>
      </w:r>
      <w:r>
        <w:rPr>
          <w:rFonts w:hint="eastAsia" w:eastAsia="方正仿宋_GBK"/>
          <w:b/>
          <w:bCs/>
          <w:sz w:val="32"/>
          <w:szCs w:val="32"/>
          <w:highlight w:val="none"/>
          <w:lang w:val="en-US" w:eastAsia="zh-CN"/>
        </w:rPr>
        <w:t>年度</w:t>
      </w:r>
      <w:r>
        <w:rPr>
          <w:rFonts w:hint="default" w:eastAsia="方正仿宋_GBK"/>
          <w:b/>
          <w:bCs/>
          <w:sz w:val="32"/>
          <w:szCs w:val="32"/>
          <w:highlight w:val="none"/>
        </w:rPr>
        <w:t>中国作协“两个计划”、中宣部主题出版选题、中国作协重点作品扶持项目、中国作协“作家定点深入生活”项目、中国作协网络文学重点作品扶持项目、四川省重大文艺扶持</w:t>
      </w:r>
      <w:r>
        <w:rPr>
          <w:rFonts w:hint="eastAsia" w:eastAsia="方正仿宋_GBK"/>
          <w:b/>
          <w:bCs/>
          <w:sz w:val="32"/>
          <w:szCs w:val="32"/>
          <w:highlight w:val="none"/>
          <w:lang w:eastAsia="zh-CN"/>
        </w:rPr>
        <w:t>项目、</w:t>
      </w:r>
      <w:r>
        <w:rPr>
          <w:rFonts w:hint="default" w:eastAsia="方正仿宋_GBK"/>
          <w:b/>
          <w:bCs/>
          <w:sz w:val="32"/>
          <w:szCs w:val="32"/>
          <w:highlight w:val="none"/>
        </w:rPr>
        <w:t>省委宣传部“我眼中的新时代”采风创作项目、省作协重点作品扶持</w:t>
      </w:r>
      <w:r>
        <w:rPr>
          <w:rFonts w:hint="eastAsia" w:eastAsia="方正仿宋_GBK"/>
          <w:b/>
          <w:bCs/>
          <w:sz w:val="32"/>
          <w:szCs w:val="32"/>
          <w:highlight w:val="none"/>
          <w:lang w:eastAsia="zh-CN"/>
        </w:rPr>
        <w:t>项目等</w:t>
      </w:r>
      <w:r>
        <w:rPr>
          <w:rFonts w:eastAsia="方正仿宋_GBK"/>
          <w:b/>
          <w:bCs/>
          <w:sz w:val="32"/>
          <w:szCs w:val="32"/>
          <w:highlight w:val="none"/>
        </w:rPr>
        <w:t>重要</w:t>
      </w:r>
      <w:r>
        <w:rPr>
          <w:rFonts w:hint="default" w:eastAsia="方正仿宋_GBK"/>
          <w:b/>
          <w:bCs/>
          <w:sz w:val="32"/>
          <w:szCs w:val="32"/>
          <w:highlight w:val="none"/>
        </w:rPr>
        <w:t>扶持项目中遴选</w:t>
      </w:r>
      <w:r>
        <w:rPr>
          <w:rFonts w:hint="eastAsia" w:eastAsia="方正仿宋_GBK"/>
          <w:b/>
          <w:bCs/>
          <w:sz w:val="32"/>
          <w:szCs w:val="32"/>
          <w:highlight w:val="none"/>
          <w:lang w:eastAsia="zh-CN"/>
        </w:rPr>
        <w:t>入库</w:t>
      </w:r>
      <w:r>
        <w:rPr>
          <w:rFonts w:hint="default" w:eastAsia="方正仿宋_GBK"/>
          <w:b/>
          <w:bCs/>
          <w:sz w:val="32"/>
          <w:szCs w:val="32"/>
          <w:highlight w:val="none"/>
        </w:rPr>
        <w:t>作家作品。</w:t>
      </w:r>
    </w:p>
    <w:p w14:paraId="550C76C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在中宣部“五个一工程”图书奖、中国作协“四大奖”、中国作协</w:t>
      </w:r>
      <w:r>
        <w:rPr>
          <w:rFonts w:hint="default" w:eastAsia="方正仿宋_GBK"/>
          <w:b/>
          <w:bCs/>
          <w:i w:val="0"/>
          <w:iCs w:val="0"/>
          <w:color w:val="auto"/>
          <w:sz w:val="32"/>
          <w:szCs w:val="32"/>
          <w:highlight w:val="none"/>
        </w:rPr>
        <w:t>各直属单位</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部门主办的文学奖、全国各省级以上文学期刊及出版</w:t>
      </w:r>
      <w:r>
        <w:rPr>
          <w:rFonts w:hint="eastAsia" w:eastAsia="方正仿宋_GBK"/>
          <w:b/>
          <w:bCs/>
          <w:i w:val="0"/>
          <w:iCs w:val="0"/>
          <w:color w:val="auto"/>
          <w:sz w:val="32"/>
          <w:szCs w:val="32"/>
          <w:highlight w:val="none"/>
          <w:lang w:val="en-US" w:eastAsia="zh-CN"/>
        </w:rPr>
        <w:t>单位</w:t>
      </w:r>
      <w:r>
        <w:rPr>
          <w:rFonts w:hint="default" w:eastAsia="方正仿宋_GBK"/>
          <w:b/>
          <w:bCs/>
          <w:i w:val="0"/>
          <w:iCs w:val="0"/>
          <w:color w:val="auto"/>
          <w:sz w:val="32"/>
          <w:szCs w:val="32"/>
          <w:highlight w:val="none"/>
        </w:rPr>
        <w:t>主办的文学</w:t>
      </w:r>
      <w:r>
        <w:rPr>
          <w:rFonts w:hint="default" w:eastAsia="方正仿宋_GBK"/>
          <w:b/>
          <w:bCs/>
          <w:sz w:val="32"/>
          <w:szCs w:val="32"/>
          <w:highlight w:val="none"/>
        </w:rPr>
        <w:t>奖、省（市、区）委宣传部“五个一工程”图书奖、四川文学奖获奖作品中遴选</w:t>
      </w:r>
      <w:r>
        <w:rPr>
          <w:rFonts w:hint="eastAsia" w:eastAsia="方正仿宋_GBK"/>
          <w:b/>
          <w:bCs/>
          <w:sz w:val="32"/>
          <w:szCs w:val="32"/>
          <w:highlight w:val="none"/>
          <w:lang w:eastAsia="zh-CN"/>
        </w:rPr>
        <w:t>入库</w:t>
      </w:r>
      <w:r>
        <w:rPr>
          <w:rFonts w:hint="default" w:eastAsia="方正仿宋_GBK"/>
          <w:b/>
          <w:bCs/>
          <w:sz w:val="32"/>
          <w:szCs w:val="32"/>
          <w:highlight w:val="none"/>
        </w:rPr>
        <w:t>作家作品。</w:t>
      </w:r>
    </w:p>
    <w:p w14:paraId="5F91B187">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在中国作协、省（市）作协及全国各大文学期刊、出版社等主办的各类文学排行榜中遴选</w:t>
      </w:r>
      <w:r>
        <w:rPr>
          <w:rFonts w:hint="eastAsia" w:eastAsia="方正仿宋_GBK"/>
          <w:b/>
          <w:bCs/>
          <w:sz w:val="32"/>
          <w:szCs w:val="32"/>
          <w:highlight w:val="none"/>
          <w:lang w:eastAsia="zh-CN"/>
        </w:rPr>
        <w:t>入库作家</w:t>
      </w:r>
      <w:r>
        <w:rPr>
          <w:rFonts w:hint="default" w:eastAsia="方正仿宋_GBK"/>
          <w:b/>
          <w:bCs/>
          <w:sz w:val="32"/>
          <w:szCs w:val="32"/>
          <w:highlight w:val="none"/>
        </w:rPr>
        <w:t>作品。</w:t>
      </w:r>
    </w:p>
    <w:p w14:paraId="400C6332">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在每年度巴金文学院签约作家、四川小说家星火计划中遴选作家作品。</w:t>
      </w:r>
    </w:p>
    <w:p w14:paraId="2999FB66">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u w:val="none"/>
        </w:rPr>
      </w:pPr>
      <w:r>
        <w:rPr>
          <w:rFonts w:hint="default" w:eastAsia="方正仿宋_GBK"/>
          <w:b/>
          <w:bCs/>
          <w:sz w:val="32"/>
          <w:szCs w:val="32"/>
          <w:highlight w:val="none"/>
          <w:u w:val="none"/>
        </w:rPr>
        <w:t>在其他有重要影响力的文学活动中遴选。</w:t>
      </w:r>
    </w:p>
    <w:p w14:paraId="7960EE08">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u w:val="none"/>
        </w:rPr>
      </w:pPr>
      <w:r>
        <w:rPr>
          <w:rFonts w:hint="default" w:eastAsia="方正仿宋_GBK"/>
          <w:b/>
          <w:bCs/>
          <w:sz w:val="32"/>
          <w:szCs w:val="32"/>
          <w:highlight w:val="none"/>
          <w:u w:val="none"/>
        </w:rPr>
        <w:t>在日常工作中及时发现并遴选。</w:t>
      </w:r>
    </w:p>
    <w:p w14:paraId="628728EE">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（二）评审确立作家库、作品库</w:t>
      </w:r>
    </w:p>
    <w:p w14:paraId="4B73BBE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在作家基础库、作品基础库基础上，组织集中评审，确定当年入库作家作品数量及名单。</w:t>
      </w:r>
    </w:p>
    <w:p w14:paraId="4D3A9ABC">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1.初审筛选：牵头单位与相关部门组成初审小组，对推荐及遴选材料进行形式审核和内容初筛，形成初审合格名单。</w:t>
      </w:r>
    </w:p>
    <w:p w14:paraId="450BE040">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2.专家评审：由省内外权威专家组成评审专家组，召开集中评审会议，对初审合格名单进行综合评审，结合创作实力、发展潜力、作品质量等维度进行打分，形成拟入选名单；</w:t>
      </w:r>
    </w:p>
    <w:p w14:paraId="0A50F00D">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i w:val="0"/>
          <w:iCs w:val="0"/>
          <w:color w:val="auto"/>
          <w:sz w:val="32"/>
          <w:szCs w:val="32"/>
          <w:highlight w:val="none"/>
        </w:rPr>
      </w:pPr>
      <w:r>
        <w:rPr>
          <w:rFonts w:hint="default" w:eastAsia="方正仿宋_GBK"/>
          <w:b/>
          <w:bCs/>
          <w:i w:val="0"/>
          <w:iCs w:val="0"/>
          <w:color w:val="auto"/>
          <w:sz w:val="32"/>
          <w:szCs w:val="32"/>
          <w:highlight w:val="none"/>
        </w:rPr>
        <w:t>3.主席办公会、党组会审议审定：拟入选名单报主席办公会、党组会审定后，纳入“双百计划”作家库</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作品库。</w:t>
      </w:r>
    </w:p>
    <w:p w14:paraId="082BB27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（三）动态管理规则</w:t>
      </w:r>
    </w:p>
    <w:p w14:paraId="005FF9E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对入库作家作品实行动态跟踪管理，由牵头单位结合创作成果、作品传播、参与计划相关活动等情况进行综合考评，并做好台账登记。</w:t>
      </w:r>
    </w:p>
    <w:p w14:paraId="165FC3A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i w:val="0"/>
          <w:iCs w:val="0"/>
          <w:color w:val="auto"/>
          <w:sz w:val="32"/>
          <w:szCs w:val="32"/>
          <w:highlight w:val="none"/>
        </w:rPr>
      </w:pPr>
      <w:r>
        <w:rPr>
          <w:rFonts w:hint="default" w:eastAsia="方正仿宋_GBK"/>
          <w:b/>
          <w:bCs/>
          <w:i w:val="0"/>
          <w:iCs w:val="0"/>
          <w:color w:val="auto"/>
          <w:sz w:val="32"/>
          <w:szCs w:val="32"/>
          <w:highlight w:val="none"/>
        </w:rPr>
        <w:t>对违反创作道德及相关规定的对象，移出</w:t>
      </w:r>
      <w:r>
        <w:rPr>
          <w:rFonts w:hint="eastAsia" w:eastAsia="方正仿宋_GBK"/>
          <w:b/>
          <w:bCs/>
          <w:i w:val="0"/>
          <w:iCs w:val="0"/>
          <w:color w:val="auto"/>
          <w:sz w:val="32"/>
          <w:szCs w:val="32"/>
          <w:highlight w:val="none"/>
          <w:lang w:val="en-US" w:eastAsia="zh-CN"/>
        </w:rPr>
        <w:t>作家、作品库</w:t>
      </w:r>
      <w:r>
        <w:rPr>
          <w:rFonts w:hint="default" w:eastAsia="方正仿宋_GBK"/>
          <w:b/>
          <w:bCs/>
          <w:i w:val="0"/>
          <w:iCs w:val="0"/>
          <w:color w:val="auto"/>
          <w:sz w:val="32"/>
          <w:szCs w:val="32"/>
          <w:highlight w:val="none"/>
        </w:rPr>
        <w:t>。</w:t>
      </w:r>
    </w:p>
    <w:p w14:paraId="6A8735D9">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三、工作举措</w:t>
      </w:r>
    </w:p>
    <w:p w14:paraId="1CBB3FA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（一）新时代四川文学百名作家攀登计划</w:t>
      </w:r>
    </w:p>
    <w:p w14:paraId="64838E93">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聚焦中青年作家成长成才，以作家库建设为核心，构建系统化培育、精准化扶持的人才培育体系，通过多维度举措助力优秀作家实现创作水平与全国影响力的双重提升，推动四川作家攀登文学高峰。各相关单位、部门按职责分工配合牵头单位开展工作。</w:t>
      </w:r>
    </w:p>
    <w:p w14:paraId="63E8ACD3">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百名作家库精细化建设与管理。①以年度遴选结果为基础，建立并完善百名作家管理库，按文学门类（小说、诗歌、报告文学、散文、网络文学等）进行分类标注，形成人才管理体系；②建立作家创作档案，跟踪记录作家创作进展、培训学习、作品刊发、获奖情况等信息，为精准培育提供数据支撑</w:t>
      </w:r>
      <w:r>
        <w:rPr>
          <w:rFonts w:eastAsia="方正仿宋_GBK"/>
          <w:b/>
          <w:bCs/>
          <w:sz w:val="32"/>
          <w:szCs w:val="32"/>
          <w:highlight w:val="none"/>
        </w:rPr>
        <w:t>。</w:t>
      </w:r>
    </w:p>
    <w:p w14:paraId="14D7A86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采风实践与创作素材挖掘。①开展“新时代文学采风”活动。每年不定期组织集中采风，带领作家深入乡村振兴、重大项目、非遗保护、生态保护等一线，挖掘鲜活创作素材，形成创作成果；②协调地方宣传文化和旅游部门，为作家</w:t>
      </w:r>
      <w:r>
        <w:rPr>
          <w:rFonts w:eastAsia="方正仿宋_GBK"/>
          <w:b/>
          <w:bCs/>
          <w:sz w:val="32"/>
          <w:szCs w:val="32"/>
          <w:highlight w:val="none"/>
        </w:rPr>
        <w:t>开展文学实践</w:t>
      </w:r>
      <w:r>
        <w:rPr>
          <w:rFonts w:hint="default" w:eastAsia="方正仿宋_GBK"/>
          <w:b/>
          <w:bCs/>
          <w:sz w:val="32"/>
          <w:szCs w:val="32"/>
          <w:highlight w:val="none"/>
        </w:rPr>
        <w:t>提供便利，鼓励创作具有地域特色和时代温度的作品；③</w:t>
      </w:r>
      <w:r>
        <w:rPr>
          <w:rFonts w:hint="eastAsia" w:eastAsia="方正仿宋_GBK"/>
          <w:b/>
          <w:bCs/>
          <w:color w:val="auto"/>
          <w:sz w:val="32"/>
          <w:szCs w:val="32"/>
          <w:highlight w:val="none"/>
          <w:lang w:val="en-US" w:eastAsia="zh-CN"/>
        </w:rPr>
        <w:t>将</w:t>
      </w:r>
      <w:r>
        <w:rPr>
          <w:rFonts w:hint="default" w:eastAsia="方正仿宋_GBK"/>
          <w:b/>
          <w:bCs/>
          <w:color w:val="auto"/>
          <w:sz w:val="32"/>
          <w:szCs w:val="32"/>
          <w:highlight w:val="none"/>
        </w:rPr>
        <w:t>采</w:t>
      </w:r>
      <w:r>
        <w:rPr>
          <w:rFonts w:hint="default" w:eastAsia="方正仿宋_GBK"/>
          <w:b/>
          <w:bCs/>
          <w:sz w:val="32"/>
          <w:szCs w:val="32"/>
          <w:highlight w:val="none"/>
        </w:rPr>
        <w:t>风活动形成的专题创作、长篇创作雏形，纳入作品库选题储备，安排专家提供改稿指导，推动素材向精品作品转化。</w:t>
      </w:r>
    </w:p>
    <w:p w14:paraId="660083C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i w:val="0"/>
          <w:iCs w:val="0"/>
          <w:color w:val="auto"/>
          <w:sz w:val="32"/>
          <w:szCs w:val="32"/>
          <w:highlight w:val="none"/>
          <w:lang w:val="en-US" w:eastAsia="zh-CN"/>
        </w:rPr>
      </w:pPr>
      <w:r>
        <w:rPr>
          <w:rFonts w:hint="default" w:eastAsia="方正仿宋_GBK"/>
          <w:b/>
          <w:bCs/>
          <w:sz w:val="32"/>
          <w:szCs w:val="32"/>
          <w:highlight w:val="none"/>
        </w:rPr>
        <w:t>基层文学服务与创作活力激发</w:t>
      </w:r>
      <w:r>
        <w:rPr>
          <w:rFonts w:hint="default" w:eastAsia="方正仿宋_GBK"/>
          <w:b/>
          <w:bCs/>
          <w:i/>
          <w:iCs/>
          <w:sz w:val="32"/>
          <w:szCs w:val="32"/>
          <w:highlight w:val="none"/>
        </w:rPr>
        <w:t>。</w:t>
      </w:r>
      <w:r>
        <w:rPr>
          <w:rFonts w:hint="default" w:eastAsia="方正仿宋_GBK"/>
          <w:b/>
          <w:bCs/>
          <w:i w:val="0"/>
          <w:iCs w:val="0"/>
          <w:sz w:val="32"/>
          <w:szCs w:val="32"/>
          <w:highlight w:val="none"/>
        </w:rPr>
        <w:t>①</w:t>
      </w:r>
      <w:r>
        <w:rPr>
          <w:rFonts w:eastAsia="方正仿宋_GBK"/>
          <w:b/>
          <w:bCs/>
          <w:i w:val="0"/>
          <w:iCs w:val="0"/>
          <w:color w:val="auto"/>
          <w:sz w:val="32"/>
          <w:szCs w:val="32"/>
          <w:highlight w:val="none"/>
        </w:rPr>
        <w:t>社联处持续</w:t>
      </w:r>
      <w:r>
        <w:rPr>
          <w:rFonts w:hint="default" w:eastAsia="方正仿宋_GBK"/>
          <w:b/>
          <w:bCs/>
          <w:i w:val="0"/>
          <w:iCs w:val="0"/>
          <w:color w:val="auto"/>
          <w:sz w:val="32"/>
          <w:szCs w:val="32"/>
          <w:highlight w:val="none"/>
        </w:rPr>
        <w:t>开展“红色文学轻骑兵</w:t>
      </w:r>
      <w:r>
        <w:rPr>
          <w:rFonts w:hint="eastAsia" w:ascii="宋体" w:hAnsi="宋体" w:eastAsia="宋体" w:cs="宋体"/>
          <w:b/>
          <w:bCs/>
          <w:i w:val="0"/>
          <w:iCs w:val="0"/>
          <w:color w:val="auto"/>
          <w:sz w:val="32"/>
          <w:szCs w:val="32"/>
          <w:highlight w:val="none"/>
        </w:rPr>
        <w:t>·</w:t>
      </w:r>
      <w:r>
        <w:rPr>
          <w:rFonts w:hint="eastAsia" w:eastAsia="方正仿宋_GBK"/>
          <w:b/>
          <w:bCs/>
          <w:i w:val="0"/>
          <w:iCs w:val="0"/>
          <w:color w:val="auto"/>
          <w:sz w:val="32"/>
          <w:szCs w:val="32"/>
          <w:highlight w:val="none"/>
          <w:lang w:val="en-US" w:eastAsia="zh-CN"/>
        </w:rPr>
        <w:t>百场讲座进基层</w:t>
      </w:r>
      <w:r>
        <w:rPr>
          <w:rFonts w:hint="default" w:eastAsia="方正仿宋_GBK"/>
          <w:b/>
          <w:bCs/>
          <w:i w:val="0"/>
          <w:iCs w:val="0"/>
          <w:color w:val="auto"/>
          <w:sz w:val="32"/>
          <w:szCs w:val="32"/>
          <w:highlight w:val="none"/>
        </w:rPr>
        <w:t>”活动</w:t>
      </w:r>
      <w:r>
        <w:rPr>
          <w:rFonts w:eastAsia="方正仿宋_GBK"/>
          <w:b/>
          <w:bCs/>
          <w:i w:val="0"/>
          <w:iCs w:val="0"/>
          <w:color w:val="auto"/>
          <w:sz w:val="32"/>
          <w:szCs w:val="32"/>
          <w:highlight w:val="none"/>
        </w:rPr>
        <w:t>，</w:t>
      </w:r>
      <w:r>
        <w:rPr>
          <w:rFonts w:hint="default" w:eastAsia="方正仿宋_GBK"/>
          <w:b/>
          <w:bCs/>
          <w:i w:val="0"/>
          <w:iCs w:val="0"/>
          <w:color w:val="auto"/>
          <w:sz w:val="32"/>
          <w:szCs w:val="32"/>
          <w:highlight w:val="none"/>
        </w:rPr>
        <w:t>深</w:t>
      </w:r>
      <w:r>
        <w:rPr>
          <w:rFonts w:hint="default" w:eastAsia="方正仿宋_GBK"/>
          <w:b/>
          <w:bCs/>
          <w:sz w:val="32"/>
          <w:szCs w:val="32"/>
          <w:highlight w:val="none"/>
        </w:rPr>
        <w:t>入乡村、社区、学校开展文学讲座；②星星诗刊杂志社持续开展“诗歌进校园”公益讲座，培育文学创作新生力量；③</w:t>
      </w:r>
      <w:r>
        <w:rPr>
          <w:rFonts w:hint="eastAsia" w:eastAsia="方正仿宋_GBK"/>
          <w:b/>
          <w:bCs/>
          <w:sz w:val="32"/>
          <w:szCs w:val="32"/>
          <w:highlight w:val="none"/>
          <w:lang w:eastAsia="zh-CN"/>
        </w:rPr>
        <w:t>巴金文学院持续开展“新声讲堂”进学校、进社区文学活动；</w:t>
      </w:r>
      <w:r>
        <w:rPr>
          <w:rFonts w:hint="default" w:eastAsia="方正仿宋_GBK"/>
          <w:b/>
          <w:bCs/>
          <w:sz w:val="32"/>
          <w:szCs w:val="32"/>
          <w:highlight w:val="none"/>
        </w:rPr>
        <w:t>④邀请非遗传承人、乡村文化名人、基层先进典型参与文学活动，为作品创作提供丰富素材和灵感。</w:t>
      </w:r>
      <w:r>
        <w:rPr>
          <w:rFonts w:hint="eastAsia" w:eastAsia="方正仿宋_GBK"/>
          <w:b/>
          <w:bCs/>
          <w:i w:val="0"/>
          <w:iCs w:val="0"/>
          <w:color w:val="auto"/>
          <w:sz w:val="32"/>
          <w:szCs w:val="32"/>
          <w:highlight w:val="none"/>
        </w:rPr>
        <w:t>⑤</w:t>
      </w:r>
      <w:r>
        <w:rPr>
          <w:rFonts w:hint="eastAsia" w:eastAsia="方正仿宋_GBK"/>
          <w:b/>
          <w:bCs/>
          <w:i w:val="0"/>
          <w:iCs w:val="0"/>
          <w:color w:val="auto"/>
          <w:sz w:val="32"/>
          <w:szCs w:val="32"/>
          <w:highlight w:val="none"/>
          <w:lang w:val="en-US" w:eastAsia="zh-CN"/>
        </w:rPr>
        <w:t>创研室开展全省文学研讨（区域）“春雷行动”，检阅和激发全省作家创作热情；常态化开展发现全省文学新人新作“文星计划”，利用《四川作家》报做好基础性培育工作。</w:t>
      </w:r>
    </w:p>
    <w:p w14:paraId="07FA2E2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中青年作家系统化培训和改稿赋能。①</w:t>
      </w:r>
      <w:r>
        <w:rPr>
          <w:rFonts w:hint="eastAsia" w:eastAsia="方正仿宋_GBK"/>
          <w:b/>
          <w:bCs/>
          <w:i w:val="0"/>
          <w:iCs w:val="0"/>
          <w:color w:val="auto"/>
          <w:sz w:val="32"/>
          <w:szCs w:val="32"/>
          <w:highlight w:val="none"/>
          <w:lang w:eastAsia="zh-CN"/>
        </w:rPr>
        <w:t>由巴金文学院牵头</w:t>
      </w:r>
      <w:r>
        <w:rPr>
          <w:rFonts w:hint="default" w:eastAsia="方正仿宋_GBK"/>
          <w:b/>
          <w:bCs/>
          <w:i w:val="0"/>
          <w:iCs w:val="0"/>
          <w:color w:val="auto"/>
          <w:sz w:val="32"/>
          <w:szCs w:val="32"/>
          <w:highlight w:val="none"/>
        </w:rPr>
        <w:t>开设潜力作家提升班：邀请全国知名文学批</w:t>
      </w:r>
      <w:r>
        <w:rPr>
          <w:rFonts w:hint="default" w:eastAsia="方正仿宋_GBK"/>
          <w:b/>
          <w:bCs/>
          <w:sz w:val="32"/>
          <w:szCs w:val="32"/>
          <w:highlight w:val="none"/>
        </w:rPr>
        <w:t>评家、作家、出版家及核心文学期刊知名编辑授课，提供一对一创作研究和批评指导，针对性提升创作水平；举办中青年作家高级研讨班：每年举办1期，</w:t>
      </w:r>
      <w:r>
        <w:rPr>
          <w:rFonts w:eastAsia="方正仿宋_GBK"/>
          <w:b/>
          <w:bCs/>
          <w:sz w:val="32"/>
          <w:szCs w:val="32"/>
          <w:highlight w:val="none"/>
        </w:rPr>
        <w:t>优先</w:t>
      </w:r>
      <w:r>
        <w:rPr>
          <w:rFonts w:hint="default" w:eastAsia="方正仿宋_GBK"/>
          <w:b/>
          <w:bCs/>
          <w:sz w:val="32"/>
          <w:szCs w:val="32"/>
          <w:highlight w:val="none"/>
        </w:rPr>
        <w:t>从作家库储备人才中遴选学员</w:t>
      </w:r>
      <w:r>
        <w:rPr>
          <w:rFonts w:eastAsia="方正仿宋_GBK"/>
          <w:b/>
          <w:bCs/>
          <w:sz w:val="32"/>
          <w:szCs w:val="32"/>
          <w:highlight w:val="none"/>
        </w:rPr>
        <w:t>，</w:t>
      </w:r>
      <w:r>
        <w:rPr>
          <w:rFonts w:hint="default" w:eastAsia="方正仿宋_GBK"/>
          <w:b/>
          <w:bCs/>
          <w:sz w:val="32"/>
          <w:szCs w:val="32"/>
          <w:highlight w:val="none"/>
        </w:rPr>
        <w:t>系统开展创作培训；②开展跨地域文学交流：创联部、创研室、巴金文学院不定期</w:t>
      </w:r>
      <w:r>
        <w:rPr>
          <w:rFonts w:eastAsia="方正仿宋_GBK"/>
          <w:b/>
          <w:bCs/>
          <w:sz w:val="32"/>
          <w:szCs w:val="32"/>
          <w:highlight w:val="none"/>
        </w:rPr>
        <w:t>共同</w:t>
      </w:r>
      <w:r>
        <w:rPr>
          <w:rFonts w:hint="default" w:eastAsia="方正仿宋_GBK"/>
          <w:b/>
          <w:bCs/>
          <w:sz w:val="32"/>
          <w:szCs w:val="32"/>
          <w:highlight w:val="none"/>
        </w:rPr>
        <w:t>搭建作品研讨、经验互鉴平台，拓宽作家文学视野；③强化网络文学作家培育：网络文学中心每年组织1次网络作家集中培训。加强政治引领和现实主义创作方向引导；④提供深度改稿服务：针对作家库内作家趋于成</w:t>
      </w:r>
      <w:r>
        <w:rPr>
          <w:rFonts w:hint="default" w:eastAsia="方正仿宋_GBK"/>
          <w:b/>
          <w:bCs/>
          <w:color w:val="auto"/>
          <w:sz w:val="32"/>
          <w:szCs w:val="32"/>
          <w:highlight w:val="none"/>
        </w:rPr>
        <w:t>熟</w:t>
      </w:r>
      <w:r>
        <w:rPr>
          <w:rFonts w:hint="eastAsia" w:eastAsia="方正仿宋_GBK"/>
          <w:b/>
          <w:bCs/>
          <w:color w:val="auto"/>
          <w:sz w:val="32"/>
          <w:szCs w:val="32"/>
          <w:highlight w:val="none"/>
          <w:lang w:val="en-US" w:eastAsia="zh-CN"/>
        </w:rPr>
        <w:t>的</w:t>
      </w:r>
      <w:r>
        <w:rPr>
          <w:rFonts w:hint="default" w:eastAsia="方正仿宋_GBK"/>
          <w:b/>
          <w:bCs/>
          <w:sz w:val="32"/>
          <w:szCs w:val="32"/>
          <w:highlight w:val="none"/>
        </w:rPr>
        <w:t>作品，邀请专业出版家、文学期刊编辑、著名文学批评家现场把脉问诊，提出具体修改意见，提升作品的文学性和思想高度。</w:t>
      </w:r>
    </w:p>
    <w:p w14:paraId="4AFDCBD2">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优质阵地资源对接与作品刊发。①四川文学杂志社加大长篇小说、长篇报告文学刊发力度；②持续推进“四川青年小说家星火计划”，从作家库中选拔小说新人进行重点培养和作品刊发；③星星诗刊杂志社开设“蜀地诗篇”专栏，优先推出作家库内四川诗人诗作，并附专业评论文章；④联合当代文坛杂志社开设“文学川军”研究专辑，优先推出关于作家库内作家作品的研究文章，强化文学评论支撑。</w:t>
      </w:r>
    </w:p>
    <w:p w14:paraId="10AFEF4B">
      <w:pPr>
        <w:keepNext w:val="0"/>
        <w:keepLines w:val="0"/>
        <w:pageBreakBefore w:val="0"/>
        <w:widowControl w:val="0"/>
        <w:numPr>
          <w:ilvl w:val="0"/>
          <w:numId w:val="2"/>
        </w:numPr>
        <w:suppressAutoHyphens/>
        <w:kinsoku/>
        <w:wordWrap/>
        <w:overflowPunct/>
        <w:topLinePunct w:val="0"/>
        <w:autoSpaceDE/>
        <w:autoSpaceDN/>
        <w:bidi w:val="0"/>
        <w:adjustRightInd/>
        <w:snapToGrid/>
        <w:spacing w:line="576" w:lineRule="exact"/>
        <w:ind w:left="0"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新时代四川文学百部作品创作计划</w:t>
      </w:r>
    </w:p>
    <w:p w14:paraId="3CBF28DC">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eastAsia" w:eastAsia="方正仿宋_GBK"/>
          <w:b/>
          <w:bCs/>
          <w:i w:val="0"/>
          <w:iCs w:val="0"/>
          <w:color w:val="auto"/>
          <w:sz w:val="32"/>
          <w:szCs w:val="32"/>
          <w:highlight w:val="none"/>
          <w:lang w:val="en-US" w:eastAsia="zh-CN"/>
        </w:rPr>
        <w:t>全力</w:t>
      </w:r>
      <w:r>
        <w:rPr>
          <w:rFonts w:hint="default" w:eastAsia="方正仿宋_GBK"/>
          <w:b/>
          <w:bCs/>
          <w:i w:val="0"/>
          <w:iCs w:val="0"/>
          <w:color w:val="auto"/>
          <w:sz w:val="32"/>
          <w:szCs w:val="32"/>
          <w:highlight w:val="none"/>
        </w:rPr>
        <w:t>聚焦时代主题与巴蜀特色，以作品库建设</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实践采风</w:t>
      </w:r>
      <w:r>
        <w:rPr>
          <w:rFonts w:hint="eastAsia" w:eastAsia="方正仿宋_GBK"/>
          <w:b/>
          <w:bCs/>
          <w:i w:val="0"/>
          <w:iCs w:val="0"/>
          <w:color w:val="auto"/>
          <w:sz w:val="32"/>
          <w:szCs w:val="32"/>
          <w:highlight w:val="none"/>
          <w:lang w:eastAsia="zh-CN"/>
        </w:rPr>
        <w:t>、</w:t>
      </w:r>
      <w:r>
        <w:rPr>
          <w:rFonts w:hint="eastAsia" w:eastAsia="方正仿宋_GBK"/>
          <w:b/>
          <w:bCs/>
          <w:i w:val="0"/>
          <w:iCs w:val="0"/>
          <w:color w:val="auto"/>
          <w:sz w:val="32"/>
          <w:szCs w:val="32"/>
          <w:highlight w:val="none"/>
          <w:lang w:val="en-US" w:eastAsia="zh-CN"/>
        </w:rPr>
        <w:t>服务基层</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阵地刊发、活动推广、改稿提升</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研讨推介为</w:t>
      </w:r>
      <w:r>
        <w:rPr>
          <w:rFonts w:hint="eastAsia" w:eastAsia="方正仿宋_GBK"/>
          <w:b/>
          <w:bCs/>
          <w:i w:val="0"/>
          <w:iCs w:val="0"/>
          <w:color w:val="auto"/>
          <w:sz w:val="32"/>
          <w:szCs w:val="32"/>
          <w:highlight w:val="none"/>
          <w:lang w:val="en-US" w:eastAsia="zh-CN"/>
        </w:rPr>
        <w:t>保障措施和方法手段</w:t>
      </w:r>
      <w:r>
        <w:rPr>
          <w:rFonts w:hint="default" w:eastAsia="方正仿宋_GBK"/>
          <w:b/>
          <w:bCs/>
          <w:i w:val="0"/>
          <w:iCs w:val="0"/>
          <w:color w:val="auto"/>
          <w:sz w:val="32"/>
          <w:szCs w:val="32"/>
          <w:highlight w:val="none"/>
        </w:rPr>
        <w:t>，</w:t>
      </w:r>
      <w:r>
        <w:rPr>
          <w:rFonts w:hint="default" w:eastAsia="方正仿宋_GBK"/>
          <w:b/>
          <w:bCs/>
          <w:sz w:val="32"/>
          <w:szCs w:val="32"/>
          <w:highlight w:val="none"/>
        </w:rPr>
        <w:t>全方位催生优秀文学作品，打造四川文学精品矩阵。各相关单位、部门按职责分工配合牵头单位开展工作。</w:t>
      </w:r>
    </w:p>
    <w:p w14:paraId="291B021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百部作品库策划与动态管理。①以年度遴选结果为基础，建立百部作品管理库，按题材类型、创作阶段等进行分类管理。②建立作品跟踪管理机制，实时跟踪库内作品创作进度、改稿安排、研讨宣推、获奖情况及相关影响等动态信息；③完成作品库的增补与清退，保留产生良好影响的作品，</w:t>
      </w:r>
      <w:r>
        <w:rPr>
          <w:rFonts w:hint="eastAsia" w:eastAsia="方正仿宋_GBK"/>
          <w:b/>
          <w:bCs/>
          <w:color w:val="auto"/>
          <w:sz w:val="32"/>
          <w:szCs w:val="32"/>
          <w:highlight w:val="none"/>
          <w:lang w:val="en-US" w:eastAsia="zh-CN"/>
        </w:rPr>
        <w:t>将</w:t>
      </w:r>
      <w:r>
        <w:rPr>
          <w:rFonts w:hint="default" w:eastAsia="方正仿宋_GBK"/>
          <w:b/>
          <w:bCs/>
          <w:color w:val="auto"/>
          <w:sz w:val="32"/>
          <w:szCs w:val="32"/>
          <w:highlight w:val="none"/>
        </w:rPr>
        <w:t>后</w:t>
      </w:r>
      <w:r>
        <w:rPr>
          <w:rFonts w:hint="default" w:eastAsia="方正仿宋_GBK"/>
          <w:b/>
          <w:bCs/>
          <w:sz w:val="32"/>
          <w:szCs w:val="32"/>
          <w:highlight w:val="none"/>
        </w:rPr>
        <w:t>期评价不高或有负面影响的作品移出库。</w:t>
      </w:r>
    </w:p>
    <w:p w14:paraId="0986B7CE">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专题研讨与品牌化推广。①举办四川文学高质量发展全景式研讨，加强作家作品研究：组织省内外权威专家围绕巴蜀题材创作、中青年作家作品等主题开展深度研讨，形成评论集或专题文章，通过主流媒体及重点文学平台推广；②媒体专题宣传</w:t>
      </w:r>
      <w:r>
        <w:rPr>
          <w:rFonts w:hint="eastAsia" w:eastAsia="方正仿宋_GBK"/>
          <w:b/>
          <w:bCs/>
          <w:sz w:val="32"/>
          <w:szCs w:val="32"/>
          <w:highlight w:val="none"/>
          <w:lang w:eastAsia="zh-CN"/>
        </w:rPr>
        <w:t>：</w:t>
      </w:r>
      <w:r>
        <w:rPr>
          <w:rFonts w:hint="default" w:eastAsia="方正仿宋_GBK"/>
          <w:b/>
          <w:bCs/>
          <w:sz w:val="32"/>
          <w:szCs w:val="32"/>
          <w:highlight w:val="none"/>
        </w:rPr>
        <w:t>开设“聚焦四川文学创作”专题报道，重点推介作品库内优秀作品</w:t>
      </w:r>
      <w:r>
        <w:rPr>
          <w:rFonts w:hint="eastAsia" w:eastAsia="方正仿宋_GBK"/>
          <w:b/>
          <w:bCs/>
          <w:sz w:val="32"/>
          <w:szCs w:val="32"/>
          <w:highlight w:val="none"/>
          <w:lang w:eastAsia="zh-CN"/>
        </w:rPr>
        <w:t>；</w:t>
      </w:r>
      <w:r>
        <w:rPr>
          <w:rFonts w:hint="default" w:eastAsia="方正仿宋_GBK"/>
          <w:b/>
          <w:bCs/>
          <w:sz w:val="32"/>
          <w:szCs w:val="32"/>
          <w:highlight w:val="none"/>
        </w:rPr>
        <w:t>③开展文学名家面对面活动：组织省内知名作家深入各市州基层，与文学爱好者、素人写作者交流互动，挖掘基层优秀作家作品，并组织开展专题研讨与宣传推广活动。</w:t>
      </w:r>
    </w:p>
    <w:p w14:paraId="31EDB79B">
      <w:pPr>
        <w:keepNext w:val="0"/>
        <w:keepLines w:val="0"/>
        <w:pageBreakBefore w:val="0"/>
        <w:widowControl w:val="0"/>
        <w:suppressAutoHyphens/>
        <w:kinsoku/>
        <w:wordWrap/>
        <w:overflowPunct/>
        <w:topLinePunct w:val="0"/>
        <w:autoSpaceDE/>
        <w:autoSpaceDN/>
        <w:adjustRightInd/>
        <w:snapToGrid/>
        <w:spacing w:line="576" w:lineRule="exact"/>
        <w:ind w:firstLine="643" w:firstLineChars="200"/>
        <w:rPr>
          <w:rFonts w:hint="default" w:eastAsia="方正仿宋_GBK"/>
          <w:b/>
          <w:bCs/>
          <w:sz w:val="32"/>
          <w:szCs w:val="32"/>
          <w:highlight w:val="none"/>
        </w:rPr>
      </w:pPr>
      <w:r>
        <w:rPr>
          <w:rFonts w:hint="default" w:eastAsia="方正仿宋_GBK"/>
          <w:b/>
          <w:bCs/>
          <w:sz w:val="32"/>
          <w:szCs w:val="32"/>
          <w:highlight w:val="none"/>
        </w:rPr>
        <w:t>扶持获奖及出版转化。</w:t>
      </w:r>
      <w:r>
        <w:rPr>
          <w:rFonts w:hint="default" w:eastAsia="方正仿宋_GBK"/>
          <w:b/>
          <w:bCs/>
          <w:i w:val="0"/>
          <w:iCs w:val="0"/>
          <w:color w:val="auto"/>
          <w:sz w:val="32"/>
          <w:szCs w:val="32"/>
          <w:highlight w:val="none"/>
        </w:rPr>
        <w:t>①整合扶持项目资源：将中国作协重点作品扶持项目、中国作协“作家定点深入生活”项目、中国作协网络文学重点作品扶持项目</w:t>
      </w:r>
      <w:r>
        <w:rPr>
          <w:rFonts w:hint="eastAsia" w:eastAsia="方正仿宋_GBK"/>
          <w:b/>
          <w:bCs/>
          <w:i w:val="0"/>
          <w:iCs w:val="0"/>
          <w:color w:val="auto"/>
          <w:sz w:val="32"/>
          <w:szCs w:val="32"/>
          <w:highlight w:val="none"/>
          <w:lang w:eastAsia="zh-CN"/>
        </w:rPr>
        <w:t>、</w:t>
      </w:r>
      <w:r>
        <w:rPr>
          <w:rFonts w:hint="default" w:eastAsia="方正仿宋_GBK"/>
          <w:b/>
          <w:bCs/>
          <w:i w:val="0"/>
          <w:iCs w:val="0"/>
          <w:color w:val="auto"/>
          <w:sz w:val="32"/>
          <w:szCs w:val="32"/>
          <w:highlight w:val="none"/>
        </w:rPr>
        <w:t>四川省重大文艺扶持项目</w:t>
      </w:r>
      <w:r>
        <w:rPr>
          <w:rFonts w:hint="eastAsia" w:eastAsia="方正仿宋_GBK"/>
          <w:b/>
          <w:bCs/>
          <w:i w:val="0"/>
          <w:iCs w:val="0"/>
          <w:color w:val="auto"/>
          <w:sz w:val="32"/>
          <w:szCs w:val="32"/>
          <w:highlight w:val="none"/>
          <w:lang w:val="en-US" w:eastAsia="zh-CN"/>
        </w:rPr>
        <w:t>等</w:t>
      </w:r>
      <w:r>
        <w:rPr>
          <w:rFonts w:hint="default" w:eastAsia="方正仿宋_GBK"/>
          <w:b/>
          <w:bCs/>
          <w:i w:val="0"/>
          <w:iCs w:val="0"/>
          <w:color w:val="auto"/>
          <w:sz w:val="32"/>
          <w:szCs w:val="32"/>
          <w:highlight w:val="none"/>
        </w:rPr>
        <w:t>直接纳入作品库，优先扶持库内作品创作出版；</w:t>
      </w:r>
      <w:r>
        <w:rPr>
          <w:rFonts w:hint="default" w:eastAsia="方正仿宋_GBK"/>
          <w:b/>
          <w:bCs/>
          <w:sz w:val="32"/>
          <w:szCs w:val="32"/>
          <w:highlight w:val="none"/>
        </w:rPr>
        <w:t>②申报全国荣誉：对接中宣部“五个一工程”图书奖、中国作协</w:t>
      </w:r>
      <w:r>
        <w:rPr>
          <w:rFonts w:hint="eastAsia" w:eastAsia="方正仿宋_GBK"/>
          <w:b/>
          <w:bCs/>
          <w:sz w:val="32"/>
          <w:szCs w:val="32"/>
          <w:highlight w:val="none"/>
          <w:lang w:eastAsia="zh-CN"/>
        </w:rPr>
        <w:t>“</w:t>
      </w:r>
      <w:r>
        <w:rPr>
          <w:rFonts w:hint="default" w:eastAsia="方正仿宋_GBK"/>
          <w:b/>
          <w:bCs/>
          <w:sz w:val="32"/>
          <w:szCs w:val="32"/>
          <w:highlight w:val="none"/>
        </w:rPr>
        <w:t>四大奖</w:t>
      </w:r>
      <w:r>
        <w:rPr>
          <w:rFonts w:hint="eastAsia" w:eastAsia="方正仿宋_GBK"/>
          <w:b/>
          <w:bCs/>
          <w:sz w:val="32"/>
          <w:szCs w:val="32"/>
          <w:highlight w:val="none"/>
          <w:lang w:eastAsia="zh-CN"/>
        </w:rPr>
        <w:t>”</w:t>
      </w:r>
      <w:r>
        <w:rPr>
          <w:rFonts w:hint="default" w:eastAsia="方正仿宋_GBK"/>
          <w:b/>
          <w:bCs/>
          <w:sz w:val="32"/>
          <w:szCs w:val="32"/>
          <w:highlight w:val="none"/>
        </w:rPr>
        <w:t>等申报要求</w:t>
      </w:r>
      <w:r>
        <w:rPr>
          <w:rFonts w:hint="eastAsia" w:eastAsia="方正仿宋_GBK"/>
          <w:b/>
          <w:bCs/>
          <w:sz w:val="32"/>
          <w:szCs w:val="32"/>
          <w:highlight w:val="none"/>
          <w:lang w:eastAsia="zh-CN"/>
        </w:rPr>
        <w:t>，</w:t>
      </w:r>
      <w:r>
        <w:rPr>
          <w:rFonts w:hint="default" w:eastAsia="方正仿宋_GBK"/>
          <w:b/>
          <w:bCs/>
          <w:sz w:val="32"/>
          <w:szCs w:val="32"/>
          <w:highlight w:val="none"/>
        </w:rPr>
        <w:t>优先推荐作品参评</w:t>
      </w:r>
      <w:r>
        <w:rPr>
          <w:rFonts w:eastAsia="方正仿宋_GBK"/>
          <w:b/>
          <w:bCs/>
          <w:sz w:val="32"/>
          <w:szCs w:val="32"/>
          <w:highlight w:val="none"/>
        </w:rPr>
        <w:t>；</w:t>
      </w:r>
      <w:r>
        <w:rPr>
          <w:rFonts w:hint="default" w:eastAsia="方正仿宋_GBK"/>
          <w:b/>
          <w:bCs/>
          <w:sz w:val="32"/>
          <w:szCs w:val="32"/>
          <w:highlight w:val="none"/>
        </w:rPr>
        <w:t>③出版精品文学丛书：组织评选并实施“四川文学精品丛书”计划，与川内优质出版机构合作，将作品库内优秀作品纳入丛书统一出版，扩大作品传播范围</w:t>
      </w:r>
      <w:r>
        <w:rPr>
          <w:rFonts w:eastAsia="方正仿宋_GBK"/>
          <w:b/>
          <w:bCs/>
          <w:sz w:val="32"/>
          <w:szCs w:val="32"/>
          <w:highlight w:val="none"/>
        </w:rPr>
        <w:t>；</w:t>
      </w:r>
      <w:r>
        <w:rPr>
          <w:rFonts w:hint="default" w:eastAsia="方正仿宋_GBK"/>
          <w:b/>
          <w:bCs/>
          <w:sz w:val="32"/>
          <w:szCs w:val="32"/>
          <w:highlight w:val="none"/>
        </w:rPr>
        <w:t>④推动作品多渠道转化：联合相关专业机构建立作品转化机制，推动库内优秀作品实现影视、动漫、有声书等跨媒介转化，加强四川元素的传播。⑤网络文学中心加强与阅文、爱奇艺等平台合作</w:t>
      </w:r>
      <w:r>
        <w:rPr>
          <w:rFonts w:eastAsia="方正仿宋_GBK"/>
          <w:b/>
          <w:bCs/>
          <w:sz w:val="32"/>
          <w:szCs w:val="32"/>
          <w:highlight w:val="none"/>
        </w:rPr>
        <w:t>，</w:t>
      </w:r>
      <w:r>
        <w:rPr>
          <w:rFonts w:hint="default" w:eastAsia="方正仿宋_GBK"/>
          <w:b/>
          <w:bCs/>
          <w:sz w:val="32"/>
          <w:szCs w:val="32"/>
          <w:highlight w:val="none"/>
        </w:rPr>
        <w:t>推荐作家库内优秀网络文学作品不断“出海”及影视转化</w:t>
      </w:r>
      <w:r>
        <w:rPr>
          <w:rFonts w:eastAsia="方正仿宋_GBK"/>
          <w:b/>
          <w:bCs/>
          <w:sz w:val="32"/>
          <w:szCs w:val="32"/>
          <w:highlight w:val="none"/>
        </w:rPr>
        <w:t>。</w:t>
      </w:r>
    </w:p>
    <w:p w14:paraId="572DFF1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四、实施步骤</w:t>
      </w:r>
    </w:p>
    <w:p w14:paraId="285864AD">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（一）启动阶段（2026年7—12月）</w:t>
      </w:r>
    </w:p>
    <w:p w14:paraId="2E8EF990">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成立“双百计划”专项工作组</w:t>
      </w:r>
      <w:r>
        <w:rPr>
          <w:rFonts w:eastAsia="方正仿宋_GBK"/>
          <w:b/>
          <w:bCs/>
          <w:sz w:val="32"/>
          <w:szCs w:val="32"/>
          <w:highlight w:val="none"/>
        </w:rPr>
        <w:t>。</w:t>
      </w:r>
      <w:r>
        <w:rPr>
          <w:rFonts w:hint="default" w:eastAsia="方正仿宋_GBK"/>
          <w:b/>
          <w:bCs/>
          <w:sz w:val="32"/>
          <w:szCs w:val="32"/>
          <w:highlight w:val="none"/>
        </w:rPr>
        <w:t>专项工作组</w:t>
      </w:r>
      <w:r>
        <w:rPr>
          <w:rFonts w:eastAsia="方正仿宋_GBK"/>
          <w:b/>
          <w:bCs/>
          <w:sz w:val="32"/>
          <w:szCs w:val="32"/>
          <w:highlight w:val="none"/>
        </w:rPr>
        <w:t>由省作协党组统一领导，省作协主席、党组书记任组长，分管业务的党组领导任常务副组长，各相关部门负责人为成员，统筹推进计划实施。</w:t>
      </w:r>
      <w:r>
        <w:rPr>
          <w:rFonts w:hint="default" w:eastAsia="方正仿宋_GBK"/>
          <w:b/>
          <w:bCs/>
          <w:sz w:val="32"/>
          <w:szCs w:val="32"/>
          <w:highlight w:val="none"/>
        </w:rPr>
        <w:t>明确创联部、创研室的牵头职责</w:t>
      </w:r>
      <w:r>
        <w:rPr>
          <w:rFonts w:eastAsia="方正仿宋_GBK"/>
          <w:b/>
          <w:bCs/>
          <w:sz w:val="32"/>
          <w:szCs w:val="32"/>
          <w:highlight w:val="none"/>
        </w:rPr>
        <w:t>及各部门分工，</w:t>
      </w:r>
      <w:r>
        <w:rPr>
          <w:rFonts w:hint="default" w:eastAsia="方正仿宋_GBK"/>
          <w:b/>
          <w:bCs/>
          <w:sz w:val="32"/>
          <w:szCs w:val="32"/>
          <w:highlight w:val="none"/>
        </w:rPr>
        <w:t>建立高效联动工作机制；</w:t>
      </w:r>
    </w:p>
    <w:p w14:paraId="203ED81F">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组织开展首批人才和作品的</w:t>
      </w:r>
      <w:r>
        <w:rPr>
          <w:rFonts w:eastAsia="方正仿宋_GBK"/>
          <w:b/>
          <w:bCs/>
          <w:sz w:val="32"/>
          <w:szCs w:val="32"/>
          <w:highlight w:val="none"/>
        </w:rPr>
        <w:t>推荐</w:t>
      </w:r>
      <w:r>
        <w:rPr>
          <w:rFonts w:hint="default" w:eastAsia="方正仿宋_GBK"/>
          <w:b/>
          <w:bCs/>
          <w:sz w:val="32"/>
          <w:szCs w:val="32"/>
          <w:highlight w:val="none"/>
        </w:rPr>
        <w:t>遴选评审，确定首批入选名单，建立基础库。</w:t>
      </w:r>
    </w:p>
    <w:p w14:paraId="683DC746">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（二）实施阶段（2027年1月—2028年12月）</w:t>
      </w:r>
    </w:p>
    <w:p w14:paraId="3D36190F">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常态化开展作家培训、集中采风、基层文学服务、作品改稿等活动，按计划推进库内作家作品的刊发、出版与推广，确保各项举措落地见效；</w:t>
      </w:r>
    </w:p>
    <w:p w14:paraId="7CA1550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每年开展1次总结，梳理计划实施成效与存在问题，优化人才培育与作品创作扶持机制；</w:t>
      </w:r>
    </w:p>
    <w:p w14:paraId="51DC666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建立健全创作成果反馈机制，及时吸纳作家意见建议，调整完善遴选、培育、扶持等各项工作举措。</w:t>
      </w:r>
    </w:p>
    <w:p w14:paraId="4FA674DF">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（三）</w:t>
      </w:r>
      <w:r>
        <w:rPr>
          <w:rFonts w:eastAsia="方正仿宋_GBK"/>
          <w:b/>
          <w:bCs/>
          <w:sz w:val="32"/>
          <w:szCs w:val="32"/>
          <w:highlight w:val="none"/>
        </w:rPr>
        <w:t>深化</w:t>
      </w:r>
      <w:r>
        <w:rPr>
          <w:rFonts w:hint="default" w:eastAsia="方正仿宋_GBK"/>
          <w:b/>
          <w:bCs/>
          <w:sz w:val="32"/>
          <w:szCs w:val="32"/>
          <w:highlight w:val="none"/>
        </w:rPr>
        <w:t>推广阶段（2029年1—6月）</w:t>
      </w:r>
    </w:p>
    <w:p w14:paraId="2A19D26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梳理“双百计划”实施以来的成果，</w:t>
      </w:r>
      <w:r>
        <w:rPr>
          <w:rFonts w:eastAsia="方正仿宋_GBK"/>
          <w:b/>
          <w:bCs/>
          <w:sz w:val="32"/>
          <w:szCs w:val="32"/>
          <w:highlight w:val="none"/>
        </w:rPr>
        <w:t>总结</w:t>
      </w:r>
      <w:r>
        <w:rPr>
          <w:rFonts w:hint="default" w:eastAsia="方正仿宋_GBK"/>
          <w:b/>
          <w:bCs/>
          <w:sz w:val="32"/>
          <w:szCs w:val="32"/>
          <w:highlight w:val="none"/>
        </w:rPr>
        <w:t>作家库、作品库的培育和创作成效；</w:t>
      </w:r>
    </w:p>
    <w:p w14:paraId="1472C7C0">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举办“双百计划”成果展与经验交流会，集中展示入选作家的创作成果和入选作品的传播效果；</w:t>
      </w:r>
    </w:p>
    <w:p w14:paraId="481AB81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提炼可复制、可推广的文学人才培育与精品创作扶持模式，形成长效工作机制。</w:t>
      </w:r>
    </w:p>
    <w:p w14:paraId="12BC7A21">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（四）</w:t>
      </w:r>
      <w:r>
        <w:rPr>
          <w:rFonts w:eastAsia="方正仿宋_GBK"/>
          <w:b/>
          <w:bCs/>
          <w:sz w:val="32"/>
          <w:szCs w:val="32"/>
          <w:highlight w:val="none"/>
        </w:rPr>
        <w:t>总结</w:t>
      </w:r>
      <w:r>
        <w:rPr>
          <w:rFonts w:hint="default" w:eastAsia="方正仿宋_GBK"/>
          <w:b/>
          <w:bCs/>
          <w:sz w:val="32"/>
          <w:szCs w:val="32"/>
          <w:highlight w:val="none"/>
        </w:rPr>
        <w:t>提升阶段（2029年7月—2030年12月）</w:t>
      </w:r>
    </w:p>
    <w:p w14:paraId="688B6F3A">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针对计划实施中的短板和不足，强化精准扶持，重点打造</w:t>
      </w:r>
      <w:r>
        <w:rPr>
          <w:rFonts w:eastAsia="方正仿宋_GBK"/>
          <w:b/>
          <w:bCs/>
          <w:sz w:val="32"/>
          <w:szCs w:val="32"/>
          <w:highlight w:val="none"/>
        </w:rPr>
        <w:t>一批</w:t>
      </w:r>
      <w:r>
        <w:rPr>
          <w:rFonts w:hint="default" w:eastAsia="方正仿宋_GBK"/>
          <w:b/>
          <w:bCs/>
          <w:sz w:val="32"/>
          <w:szCs w:val="32"/>
          <w:highlight w:val="none"/>
        </w:rPr>
        <w:t>在全国具有影响力的中青年作家和标杆性文学作品；</w:t>
      </w:r>
    </w:p>
    <w:p w14:paraId="2C1D6EE6">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加大优秀作品的跨媒介转化和“出海”力度，提升四川文学的全国影响力和国际传播力；</w:t>
      </w:r>
    </w:p>
    <w:p w14:paraId="71E34AA2">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default" w:eastAsia="方正仿宋_GBK"/>
          <w:b/>
          <w:bCs/>
          <w:sz w:val="32"/>
          <w:szCs w:val="32"/>
          <w:highlight w:val="none"/>
        </w:rPr>
      </w:pPr>
      <w:r>
        <w:rPr>
          <w:rFonts w:hint="default" w:eastAsia="方正仿宋_GBK"/>
          <w:b/>
          <w:bCs/>
          <w:sz w:val="32"/>
          <w:szCs w:val="32"/>
          <w:highlight w:val="none"/>
        </w:rPr>
        <w:t>完成五年规划目标，确保百名作家库累计规模不少于100人、百部作品库累计规模不少于100部，形成</w:t>
      </w:r>
      <w:r>
        <w:rPr>
          <w:rFonts w:eastAsia="方正仿宋_GBK"/>
          <w:b/>
          <w:bCs/>
          <w:sz w:val="32"/>
          <w:szCs w:val="32"/>
          <w:highlight w:val="none"/>
        </w:rPr>
        <w:t>不断壮大</w:t>
      </w:r>
      <w:r>
        <w:rPr>
          <w:rFonts w:hint="default" w:eastAsia="方正仿宋_GBK"/>
          <w:b/>
          <w:bCs/>
          <w:sz w:val="32"/>
          <w:szCs w:val="32"/>
          <w:highlight w:val="none"/>
        </w:rPr>
        <w:t>的作家队伍和兼具时代精神与巴蜀特质的精品</w:t>
      </w:r>
      <w:r>
        <w:rPr>
          <w:rFonts w:eastAsia="方正仿宋_GBK"/>
          <w:b/>
          <w:bCs/>
          <w:sz w:val="32"/>
          <w:szCs w:val="32"/>
          <w:highlight w:val="none"/>
        </w:rPr>
        <w:t>力</w:t>
      </w:r>
      <w:r>
        <w:rPr>
          <w:rFonts w:hint="default" w:eastAsia="方正仿宋_GBK"/>
          <w:b/>
          <w:bCs/>
          <w:sz w:val="32"/>
          <w:szCs w:val="32"/>
          <w:highlight w:val="none"/>
        </w:rPr>
        <w:t>作。</w:t>
      </w:r>
    </w:p>
    <w:p w14:paraId="3567F6BF">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textAlignment w:val="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五、纪律监督</w:t>
      </w:r>
    </w:p>
    <w:p w14:paraId="2F752CC9">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r>
        <w:rPr>
          <w:rFonts w:hint="default" w:eastAsia="方正仿宋_GBK"/>
          <w:b/>
          <w:bCs/>
          <w:sz w:val="32"/>
          <w:szCs w:val="32"/>
          <w:highlight w:val="none"/>
        </w:rPr>
        <w:t>成立纪检监督工作组，对计划实施进行监督，</w:t>
      </w:r>
      <w:r>
        <w:rPr>
          <w:rFonts w:hint="eastAsia" w:eastAsia="方正仿宋_GBK"/>
          <w:b/>
          <w:bCs/>
          <w:sz w:val="32"/>
          <w:szCs w:val="32"/>
          <w:highlight w:val="none"/>
          <w:lang w:eastAsia="zh-CN"/>
        </w:rPr>
        <w:t>督查</w:t>
      </w:r>
      <w:r>
        <w:rPr>
          <w:rFonts w:hint="default" w:eastAsia="方正仿宋_GBK"/>
          <w:b/>
          <w:bCs/>
          <w:sz w:val="32"/>
          <w:szCs w:val="32"/>
          <w:highlight w:val="none"/>
        </w:rPr>
        <w:t>工作进度，对工作中存在敷衍塞责、弄虚作假、违规使用资金等行为的，依规依纪严肃处理，确保“双百计划”顺利推进。</w:t>
      </w:r>
    </w:p>
    <w:p w14:paraId="52B27D0D">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35007426">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72EA5CF6">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08208A49">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19005294">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22011D67">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44818DE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5D0DDC93">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63996A57">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31B9C5CB">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35765DF9">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01094A05">
      <w:pPr>
        <w:keepNext w:val="0"/>
        <w:keepLines w:val="0"/>
        <w:pageBreakBefore w:val="0"/>
        <w:widowControl w:val="0"/>
        <w:suppressAutoHyphens/>
        <w:kinsoku/>
        <w:wordWrap/>
        <w:overflowPunct/>
        <w:topLinePunct w:val="0"/>
        <w:autoSpaceDE/>
        <w:autoSpaceDN/>
        <w:bidi w:val="0"/>
        <w:adjustRightInd/>
        <w:snapToGrid/>
        <w:spacing w:line="576" w:lineRule="exact"/>
        <w:ind w:firstLine="643" w:firstLineChars="200"/>
        <w:jc w:val="both"/>
        <w:textAlignment w:val="auto"/>
        <w:rPr>
          <w:rFonts w:hint="default" w:eastAsia="方正仿宋_GBK"/>
          <w:b/>
          <w:bCs/>
          <w:sz w:val="32"/>
          <w:szCs w:val="32"/>
          <w:highlight w:val="none"/>
        </w:rPr>
      </w:pPr>
    </w:p>
    <w:p w14:paraId="01D2ABAA">
      <w:pPr>
        <w:keepNext w:val="0"/>
        <w:keepLines w:val="0"/>
        <w:pageBreakBefore w:val="0"/>
        <w:widowControl w:val="0"/>
        <w:kinsoku/>
        <w:overflowPunct/>
        <w:topLinePunct w:val="0"/>
        <w:autoSpaceDE/>
        <w:autoSpaceDN/>
        <w:bidi w:val="0"/>
        <w:adjustRightInd/>
        <w:snapToGrid/>
        <w:rPr>
          <w:rFonts w:hint="default" w:eastAsia="方正仿宋_GBK"/>
          <w:b/>
          <w:bCs/>
          <w:sz w:val="32"/>
          <w:szCs w:val="32"/>
          <w:highlight w:val="none"/>
        </w:rPr>
      </w:pPr>
    </w:p>
    <w:p w14:paraId="476F66E7">
      <w:pPr>
        <w:keepNext w:val="0"/>
        <w:keepLines w:val="0"/>
        <w:pageBreakBefore w:val="0"/>
        <w:widowControl w:val="0"/>
        <w:kinsoku/>
        <w:wordWrap/>
        <w:overflowPunct/>
        <w:topLinePunct w:val="0"/>
        <w:autoSpaceDE/>
        <w:autoSpaceDN/>
        <w:bidi w:val="0"/>
        <w:adjustRightInd/>
        <w:snapToGrid/>
        <w:spacing w:line="600" w:lineRule="exact"/>
        <w:ind w:firstLine="321" w:firstLineChars="100"/>
        <w:jc w:val="left"/>
        <w:textAlignment w:val="auto"/>
        <w:rPr>
          <w:rFonts w:hint="default" w:eastAsia="方正仿宋_GBK"/>
          <w:b/>
          <w:bCs/>
          <w:sz w:val="32"/>
          <w:szCs w:val="32"/>
          <w:highlight w:val="none"/>
        </w:rPr>
      </w:pPr>
      <w:r>
        <w:rPr>
          <w:rFonts w:hint="default" w:eastAsia="方正仿宋_GBK"/>
          <w:b/>
          <w:bCs/>
          <w:sz w:val="32"/>
          <w:szCs w:val="32"/>
          <w:highlight w:val="none"/>
        </w:rPr>
        <mc:AlternateContent>
          <mc:Choice Requires="wps">
            <w:drawing>
              <wp:anchor distT="0" distB="0" distL="114300" distR="114300" simplePos="0" relativeHeight="251661312" behindDoc="0" locked="0" layoutInCell="1" allowOverlap="1">
                <wp:simplePos x="0" y="0"/>
                <wp:positionH relativeFrom="column">
                  <wp:posOffset>-8890</wp:posOffset>
                </wp:positionH>
                <wp:positionV relativeFrom="paragraph">
                  <wp:posOffset>41275</wp:posOffset>
                </wp:positionV>
                <wp:extent cx="5495925" cy="635"/>
                <wp:effectExtent l="0" t="0" r="0" b="0"/>
                <wp:wrapNone/>
                <wp:docPr id="4" name="直接箭头连接符 2"/>
                <wp:cNvGraphicFramePr/>
                <a:graphic xmlns:a="http://schemas.openxmlformats.org/drawingml/2006/main">
                  <a:graphicData uri="http://schemas.microsoft.com/office/word/2010/wordprocessingShape">
                    <wps:wsp>
                      <wps:cNvCnPr/>
                      <wps:spPr>
                        <a:xfrm>
                          <a:off x="0" y="0"/>
                          <a:ext cx="5495925" cy="63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2" o:spid="_x0000_s1026" o:spt="32" type="#_x0000_t32" style="position:absolute;left:0pt;margin-left:-0.7pt;margin-top:3.25pt;height:0.05pt;width:432.75pt;z-index:251661312;mso-width-relative:page;mso-height-relative:page;" filled="f" stroked="t" coordsize="21600,21600" o:gfxdata="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pQqLS1QAAAAYBAAAPAAAAAAAAAAEAIAAAACIAAABkcnMvZG93bnJldi54&#10;bWxQSwECFAAUAAAACACHTuJAsyQoi/0BAADuAwAADgAAAAAAAAABACAAAAAkAQAAZHJzL2Uyb0Rv&#10;Yy54bWxQSwUGAAAAAAYABgBZAQAAkwUAAAAA&#10;">
                <v:fill on="f" focussize="0,0"/>
                <v:stroke color="#000000" joinstyle="round"/>
                <v:imagedata o:title=""/>
                <o:lock v:ext="edit" aspectratio="f"/>
              </v:shape>
            </w:pict>
          </mc:Fallback>
        </mc:AlternateContent>
      </w:r>
      <w:r>
        <w:rPr>
          <w:rFonts w:hint="default" w:eastAsia="方正仿宋_GBK"/>
          <w:b/>
          <w:bCs/>
          <w:sz w:val="32"/>
          <w:szCs w:val="32"/>
          <w:highlight w:val="none"/>
        </w:rPr>
        <mc:AlternateContent>
          <mc:Choice Requires="wps">
            <w:drawing>
              <wp:anchor distT="0" distB="0" distL="114300" distR="114300" simplePos="0" relativeHeight="251660288" behindDoc="0" locked="0" layoutInCell="1" allowOverlap="1">
                <wp:simplePos x="0" y="0"/>
                <wp:positionH relativeFrom="column">
                  <wp:posOffset>-8890</wp:posOffset>
                </wp:positionH>
                <wp:positionV relativeFrom="paragraph">
                  <wp:posOffset>403225</wp:posOffset>
                </wp:positionV>
                <wp:extent cx="5495925" cy="635"/>
                <wp:effectExtent l="0" t="0" r="0" b="0"/>
                <wp:wrapNone/>
                <wp:docPr id="3" name="自选图形 28"/>
                <wp:cNvGraphicFramePr/>
                <a:graphic xmlns:a="http://schemas.openxmlformats.org/drawingml/2006/main">
                  <a:graphicData uri="http://schemas.microsoft.com/office/word/2010/wordprocessingShape">
                    <wps:wsp>
                      <wps:cNvCnPr/>
                      <wps:spPr>
                        <a:xfrm>
                          <a:off x="0" y="0"/>
                          <a:ext cx="5495925" cy="63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8" o:spid="_x0000_s1026" o:spt="32" type="#_x0000_t32" style="position:absolute;left:0pt;margin-left:-0.7pt;margin-top:31.75pt;height:0.05pt;width:432.75pt;z-index:251660288;mso-width-relative:page;mso-height-relative:page;" filled="f" stroked="t" coordsize="21600,21600" o:gfxdata="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5hmaJtcAAAAIAQAADwAAAAAAAAABACAAAAAiAAAAZHJzL2Rvd25yZXYueG1sUEsB&#10;AhQAFAAAAAgAh07iQIknNjb2AQAA5gMAAA4AAAAAAAAAAQAgAAAAJgEAAGRycy9lMm9Eb2MueG1s&#10;UEsFBgAAAAAGAAYAWQEAAI4FAAAAAA==&#10;">
                <v:fill on="f" focussize="0,0"/>
                <v:stroke color="#000000" joinstyle="round"/>
                <v:imagedata o:title=""/>
                <o:lock v:ext="edit" aspectratio="f"/>
              </v:shape>
            </w:pict>
          </mc:Fallback>
        </mc:AlternateContent>
      </w:r>
      <w:r>
        <w:rPr>
          <w:rFonts w:hint="default" w:eastAsia="方正仿宋_GBK"/>
          <w:b/>
          <w:bCs/>
          <w:sz w:val="32"/>
          <w:szCs w:val="32"/>
          <w:highlight w:val="none"/>
        </w:rPr>
        <w:t>四川省作家协会办公室           2026年</w:t>
      </w:r>
      <w:r>
        <w:rPr>
          <w:rFonts w:hint="eastAsia" w:eastAsia="方正仿宋_GBK"/>
          <w:b/>
          <w:bCs/>
          <w:sz w:val="32"/>
          <w:szCs w:val="32"/>
          <w:highlight w:val="none"/>
          <w:lang w:val="en-US" w:eastAsia="zh-CN"/>
        </w:rPr>
        <w:t>7</w:t>
      </w:r>
      <w:r>
        <w:rPr>
          <w:rFonts w:hint="default" w:eastAsia="方正仿宋_GBK"/>
          <w:b/>
          <w:bCs/>
          <w:sz w:val="32"/>
          <w:szCs w:val="32"/>
          <w:highlight w:val="none"/>
        </w:rPr>
        <w:t>月</w:t>
      </w:r>
      <w:r>
        <w:rPr>
          <w:rFonts w:hint="eastAsia" w:eastAsia="方正仿宋_GBK"/>
          <w:b/>
          <w:bCs/>
          <w:sz w:val="32"/>
          <w:szCs w:val="32"/>
          <w:highlight w:val="none"/>
          <w:lang w:val="en-US" w:eastAsia="zh-CN"/>
        </w:rPr>
        <w:t>15</w:t>
      </w:r>
      <w:r>
        <w:rPr>
          <w:rFonts w:hint="default" w:eastAsia="方正仿宋_GBK"/>
          <w:b/>
          <w:bCs/>
          <w:sz w:val="32"/>
          <w:szCs w:val="32"/>
          <w:highlight w:val="none"/>
        </w:rPr>
        <w:t>日印发</w:t>
      </w:r>
    </w:p>
    <w:sectPr>
      <w:headerReference r:id="rId3" w:type="default"/>
      <w:footerReference r:id="rId4" w:type="default"/>
      <w:pgSz w:w="11906" w:h="16838"/>
      <w:pgMar w:top="1871" w:right="1701" w:bottom="1701" w:left="1701" w:header="851" w:footer="850" w:gutter="0"/>
      <w:cols w:space="720" w:num="1"/>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8A4B02-54C9-4E6D-881A-3F917B91A0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方正仿宋_GBK"/>
    <w:panose1 w:val="02000000000000000000"/>
    <w:charset w:val="86"/>
    <w:family w:val="script"/>
    <w:pitch w:val="default"/>
    <w:sig w:usb0="00000000" w:usb1="00000000" w:usb2="00000012" w:usb3="00000000" w:csb0="00040001" w:csb1="00000000"/>
    <w:embedRegular r:id="rId2" w:fontKey="{A65CC777-E611-40E5-925D-8122F6981F77}"/>
  </w:font>
  <w:font w:name="方正仿宋_GBK">
    <w:panose1 w:val="03000509000000000000"/>
    <w:charset w:val="86"/>
    <w:family w:val="auto"/>
    <w:pitch w:val="default"/>
    <w:sig w:usb0="00000001" w:usb1="080E0000" w:usb2="00000000" w:usb3="00000000" w:csb0="00040000" w:csb1="00000000"/>
    <w:embedRegular r:id="rId3" w:fontKey="{BFCA3E81-AE83-43D9-B042-B2280495B609}"/>
  </w:font>
  <w:font w:name="方正黑体_GBK">
    <w:panose1 w:val="03000509000000000000"/>
    <w:charset w:val="86"/>
    <w:family w:val="script"/>
    <w:pitch w:val="default"/>
    <w:sig w:usb0="00000001" w:usb1="080E0000" w:usb2="00000000" w:usb3="00000000" w:csb0="00040000" w:csb1="00000000"/>
  </w:font>
  <w:font w:name="Luxi Sans">
    <w:altName w:val="方正公文小标宋"/>
    <w:panose1 w:val="00000000000000000000"/>
    <w:charset w:val="00"/>
    <w:family w:val="auto"/>
    <w:pitch w:val="default"/>
    <w:sig w:usb0="00000000" w:usb1="00000000" w:usb2="00000000" w:usb3="00000000" w:csb0="00040001" w:csb1="00000000"/>
  </w:font>
  <w:font w:name="方正公文仿宋">
    <w:altName w:val="仿宋"/>
    <w:panose1 w:val="02000500000000000000"/>
    <w:charset w:val="86"/>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Liberation Sans">
    <w:altName w:val="Segoe Print"/>
    <w:panose1 w:val="020B0604020202020204"/>
    <w:charset w:val="00"/>
    <w:family w:val="swiss"/>
    <w:pitch w:val="default"/>
    <w:sig w:usb0="00000000" w:usb1="00000000" w:usb2="00000000" w:usb3="00000000" w:csb0="6000009F" w:csb1="DFD70000"/>
  </w:font>
  <w:font w:name="DejaVu Sans">
    <w:altName w:val="Segoe Print"/>
    <w:panose1 w:val="020B0603030804020204"/>
    <w:charset w:val="00"/>
    <w:family w:val="auto"/>
    <w:pitch w:val="default"/>
    <w:sig w:usb0="00000000" w:usb1="00000000" w:usb2="0A246029" w:usb3="0400200C" w:csb0="600001FF" w:csb1="DFFF0000"/>
  </w:font>
  <w:font w:name="Saturday Sans Regular">
    <w:altName w:val="宋体"/>
    <w:panose1 w:val="02010600010101010101"/>
    <w:charset w:val="86"/>
    <w:family w:val="auto"/>
    <w:pitch w:val="default"/>
    <w:sig w:usb0="00000000" w:usb1="00000000" w:usb2="00000000" w:usb3="00000000" w:csb0="00040000" w:csb1="00000000"/>
  </w:font>
  <w:font w:name="汉仪中宋简">
    <w:altName w:val="宋体"/>
    <w:panose1 w:val="02010600000101010101"/>
    <w:charset w:val="86"/>
    <w:family w:val="auto"/>
    <w:pitch w:val="default"/>
    <w:sig w:usb0="00000000" w:usb1="00000000" w:usb2="00000002" w:usb3="00000000" w:csb0="00040000" w:csb1="00000000"/>
  </w:font>
  <w:font w:name="方正小标宋简体">
    <w:panose1 w:val="02000000000000000000"/>
    <w:charset w:val="86"/>
    <w:family w:val="script"/>
    <w:pitch w:val="default"/>
    <w:sig w:usb0="00000001" w:usb1="08000000" w:usb2="00000000" w:usb3="00000000" w:csb0="00040000" w:csb1="00000000"/>
    <w:embedRegular r:id="rId4" w:fontKey="{B29A7895-8583-46BD-A26B-47436C3792CF}"/>
  </w:font>
  <w:font w:name="Arial Unicode MS">
    <w:altName w:val="宋体"/>
    <w:panose1 w:val="020B0604020202020204"/>
    <w:charset w:val="86"/>
    <w:family w:val="auto"/>
    <w:pitch w:val="default"/>
    <w:sig w:usb0="00000000" w:usb1="00000000" w:usb2="0000007F" w:usb3="00000000" w:csb0="203F01FF" w:csb1="DFFF0000"/>
  </w:font>
  <w:font w:name="方正小标宋_GBK">
    <w:panose1 w:val="02000000000000000000"/>
    <w:charset w:val="86"/>
    <w:family w:val="script"/>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KSOFCF83BAFE">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EEE40">
    <w:pPr>
      <w:pStyle w:val="10"/>
      <w:jc w:val="right"/>
      <w:rPr>
        <w:rFonts w:hint="eastAsia" w:asci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622300" cy="204470"/>
              <wp:effectExtent l="0" t="0" r="0" b="0"/>
              <wp:wrapNone/>
              <wp:docPr id="5" name="文本框 2053"/>
              <wp:cNvGraphicFramePr/>
              <a:graphic xmlns:a="http://schemas.openxmlformats.org/drawingml/2006/main">
                <a:graphicData uri="http://schemas.microsoft.com/office/word/2010/wordprocessingShape">
                  <wps:wsp>
                    <wps:cNvSpPr txBox="1"/>
                    <wps:spPr>
                      <a:xfrm>
                        <a:off x="0" y="0"/>
                        <a:ext cx="622300" cy="204470"/>
                      </a:xfrm>
                      <a:prstGeom prst="rect">
                        <a:avLst/>
                      </a:prstGeom>
                      <a:noFill/>
                      <a:ln>
                        <a:noFill/>
                      </a:ln>
                    </wps:spPr>
                    <wps:txbx>
                      <w:txbxContent>
                        <w:p w14:paraId="2EA6A318">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sz w:val="28"/>
                              <w:szCs w:val="28"/>
                            </w:rPr>
                            <w:t xml:space="preserve"> —</w:t>
                          </w:r>
                        </w:p>
                      </w:txbxContent>
                    </wps:txbx>
                    <wps:bodyPr wrap="none" lIns="0" tIns="0" rIns="0" bIns="0" upright="1">
                      <a:spAutoFit/>
                    </wps:bodyPr>
                  </wps:wsp>
                </a:graphicData>
              </a:graphic>
            </wp:anchor>
          </w:drawing>
        </mc:Choice>
        <mc:Fallback>
          <w:pict>
            <v:shape id="文本框 2053" o:spid="_x0000_s1026" o:spt="202" type="#_x0000_t202" style="position:absolute;left:0pt;margin-top:0pt;height:16.1pt;width:49pt;mso-position-horizontal:outside;mso-position-horizontal-relative:margin;mso-wrap-style:none;z-index:251659264;mso-width-relative:page;mso-height-relative:page;" filled="f" stroked="f" coordsize="21600,21600" o:gfxdata="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CEOw4tAAAAADAQAADwAAAAAAAAABACAAAAAiAAAAZHJzL2Rv&#10;d25yZXYueG1sUEsBAhQAFAAAAAgAh07iQKQ8CIDQAQAAmgMAAA4AAAAAAAAAAQAgAAAAHwEAAGRy&#10;cy9lMm9Eb2MueG1sUEsFBgAAAAAGAAYAWQEAAGEFAAAAAA==&#10;">
              <v:fill on="f" focussize="0,0"/>
              <v:stroke on="f"/>
              <v:imagedata o:title=""/>
              <o:lock v:ext="edit" aspectratio="f"/>
              <v:textbox inset="0mm,0mm,0mm,0mm" style="mso-fit-shape-to-text:t;">
                <w:txbxContent>
                  <w:p w14:paraId="2EA6A318">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sz w:val="28"/>
                        <w:szCs w:val="28"/>
                      </w:rPr>
                      <w:t xml:space="preserve"> —</w:t>
                    </w:r>
                  </w:p>
                </w:txbxContent>
              </v:textbox>
            </v:shape>
          </w:pict>
        </mc:Fallback>
      </mc:AlternateContent>
    </w:r>
  </w:p>
  <w:p w14:paraId="34F48E6C">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0A0ED">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4C99B5"/>
    <w:multiLevelType w:val="multilevel"/>
    <w:tmpl w:val="414C99B5"/>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suff w:val="nothing"/>
      <w:lvlText w:val="（%2）"/>
      <w:lvlJc w:val="left"/>
      <w:pPr>
        <w:tabs>
          <w:tab w:val="left" w:pos="0"/>
        </w:tabs>
        <w:ind w:left="0" w:firstLine="0"/>
      </w:pPr>
      <w:rPr>
        <w:rFonts w:hint="eastAsia"/>
      </w:rPr>
    </w:lvl>
    <w:lvl w:ilvl="2" w:tentative="0">
      <w:start w:val="1"/>
      <w:numFmt w:val="decimal"/>
      <w:suff w:val="nothing"/>
      <w:lvlText w:val="%3．"/>
      <w:lvlJc w:val="left"/>
      <w:pPr>
        <w:tabs>
          <w:tab w:val="left" w:pos="0"/>
        </w:tabs>
        <w:ind w:left="-116" w:firstLine="400"/>
      </w:pPr>
      <w:rPr>
        <w:rFonts w:hint="eastAsia"/>
      </w:rPr>
    </w:lvl>
    <w:lvl w:ilvl="3" w:tentative="0">
      <w:start w:val="1"/>
      <w:numFmt w:val="decimal"/>
      <w:suff w:val="nothing"/>
      <w:lvlText w:val="（%4）"/>
      <w:lvlJc w:val="left"/>
      <w:pPr>
        <w:tabs>
          <w:tab w:val="left" w:pos="0"/>
        </w:tabs>
        <w:ind w:left="0" w:firstLine="402"/>
      </w:pPr>
      <w:rPr>
        <w:rFonts w:hint="eastAsia"/>
      </w:rPr>
    </w:lvl>
    <w:lvl w:ilvl="4" w:tentative="0">
      <w:start w:val="1"/>
      <w:numFmt w:val="decimalEnclosedCircleChinese"/>
      <w:suff w:val="nothing"/>
      <w:lvlText w:val="%5"/>
      <w:lvlJc w:val="left"/>
      <w:pPr>
        <w:tabs>
          <w:tab w:val="left" w:pos="0"/>
        </w:tabs>
        <w:ind w:left="0" w:firstLine="402"/>
      </w:pPr>
      <w:rPr>
        <w:rFonts w:hint="eastAsia"/>
      </w:rPr>
    </w:lvl>
    <w:lvl w:ilvl="5" w:tentative="0">
      <w:start w:val="1"/>
      <w:numFmt w:val="decimal"/>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
      <w:lvlJc w:val="left"/>
      <w:pPr>
        <w:tabs>
          <w:tab w:val="left" w:pos="0"/>
        </w:tabs>
        <w:ind w:left="0" w:firstLine="402"/>
      </w:pPr>
      <w:rPr>
        <w:rFonts w:hint="eastAsia"/>
      </w:rPr>
    </w:lvl>
  </w:abstractNum>
  <w:abstractNum w:abstractNumId="1">
    <w:nsid w:val="7A5AB7CE"/>
    <w:multiLevelType w:val="singleLevel"/>
    <w:tmpl w:val="7A5AB7CE"/>
    <w:lvl w:ilvl="0" w:tentative="0">
      <w:start w:val="2"/>
      <w:numFmt w:val="chineseCounting"/>
      <w:suff w:val="nothing"/>
      <w:lvlText w:val="（%1）"/>
      <w:lvlJc w:val="left"/>
      <w:pPr>
        <w:tabs>
          <w:tab w:val="left" w:pos="0"/>
        </w:tabs>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60"/>
  <w:displayHorizontalDrawingGridEvery w:val="1"/>
  <w:displayVerticalDrawingGridEvery w:val="2"/>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Y2M4MmFkY2MyZTM1NDM1MmY4ODJlZGFlYmY5YmMifQ=="/>
  </w:docVars>
  <w:rsids>
    <w:rsidRoot w:val="00172A27"/>
    <w:rsid w:val="011E5EF4"/>
    <w:rsid w:val="0200793B"/>
    <w:rsid w:val="033B6E7D"/>
    <w:rsid w:val="0C951D17"/>
    <w:rsid w:val="204E28A5"/>
    <w:rsid w:val="25757B75"/>
    <w:rsid w:val="29C42E79"/>
    <w:rsid w:val="35AE7B20"/>
    <w:rsid w:val="3C6EA18A"/>
    <w:rsid w:val="40812D67"/>
    <w:rsid w:val="41036525"/>
    <w:rsid w:val="43C73BDB"/>
    <w:rsid w:val="44705C7F"/>
    <w:rsid w:val="48050DD4"/>
    <w:rsid w:val="508B2F99"/>
    <w:rsid w:val="575B631B"/>
    <w:rsid w:val="59D92D46"/>
    <w:rsid w:val="5D74F13B"/>
    <w:rsid w:val="5DCF7A63"/>
    <w:rsid w:val="64243F39"/>
    <w:rsid w:val="670562A3"/>
    <w:rsid w:val="67FC2727"/>
    <w:rsid w:val="69000CB7"/>
    <w:rsid w:val="69F256DE"/>
    <w:rsid w:val="6AEC247E"/>
    <w:rsid w:val="6CD01102"/>
    <w:rsid w:val="6E755ABD"/>
    <w:rsid w:val="70FF3672"/>
    <w:rsid w:val="77D25D2E"/>
    <w:rsid w:val="7940316B"/>
    <w:rsid w:val="7B6ADA6C"/>
    <w:rsid w:val="BBBFF1F3"/>
    <w:rsid w:val="FEBC89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方正仿宋简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numPr>
        <w:ilvl w:val="0"/>
        <w:numId w:val="1"/>
      </w:numPr>
      <w:spacing w:before="100" w:beforeAutospacing="1" w:after="100" w:afterAutospacing="1" w:line="590" w:lineRule="exact"/>
      <w:jc w:val="left"/>
      <w:outlineLvl w:val="0"/>
    </w:pPr>
    <w:rPr>
      <w:rFonts w:ascii="宋体" w:hAnsi="宋体" w:eastAsia="方正黑体_GBK" w:cs="Times New Roman"/>
      <w:b/>
      <w:bCs/>
      <w:kern w:val="44"/>
      <w:sz w:val="32"/>
      <w:szCs w:val="48"/>
      <w:lang w:bidi="ar-SA"/>
    </w:rPr>
  </w:style>
  <w:style w:type="paragraph" w:styleId="3">
    <w:name w:val="heading 2"/>
    <w:basedOn w:val="1"/>
    <w:next w:val="1"/>
    <w:qFormat/>
    <w:uiPriority w:val="0"/>
    <w:pPr>
      <w:keepNext/>
      <w:keepLines/>
      <w:widowControl w:val="0"/>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27">
    <w:name w:val="Default Paragraph Font"/>
    <w:qFormat/>
    <w:uiPriority w:val="0"/>
    <w:rPr>
      <w:rFonts w:ascii="Times New Roman" w:hAnsi="Times New Roman" w:eastAsia="宋体" w:cs="Times New Roman"/>
      <w:lang w:bidi="ar-SA"/>
    </w:rPr>
  </w:style>
  <w:style w:type="table" w:default="1" w:styleId="2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200" w:firstLineChars="200"/>
    </w:pPr>
    <w:rPr>
      <w:rFonts w:ascii="Calibri" w:hAnsi="Calibri" w:eastAsia="宋体" w:cs="Times New Roman"/>
      <w:szCs w:val="24"/>
      <w:lang w:bidi="ar-SA"/>
    </w:rPr>
  </w:style>
  <w:style w:type="paragraph" w:styleId="6">
    <w:name w:val="index 5"/>
    <w:basedOn w:val="1"/>
    <w:next w:val="1"/>
    <w:qFormat/>
    <w:uiPriority w:val="0"/>
    <w:pPr>
      <w:ind w:left="1680"/>
    </w:pPr>
  </w:style>
  <w:style w:type="paragraph" w:styleId="7">
    <w:name w:val="annotation text"/>
    <w:basedOn w:val="1"/>
    <w:qFormat/>
    <w:uiPriority w:val="0"/>
    <w:pPr>
      <w:jc w:val="left"/>
    </w:pPr>
    <w:rPr>
      <w:rFonts w:ascii="Times New Roman" w:hAnsi="Times New Roman" w:eastAsia="宋体" w:cs="Times New Roman"/>
      <w:lang w:bidi="ar-SA"/>
    </w:rPr>
  </w:style>
  <w:style w:type="paragraph" w:styleId="8">
    <w:name w:val="Salutation"/>
    <w:basedOn w:val="1"/>
    <w:next w:val="1"/>
    <w:qFormat/>
    <w:uiPriority w:val="0"/>
  </w:style>
  <w:style w:type="paragraph" w:styleId="9">
    <w:name w:val="Body Text"/>
    <w:basedOn w:val="1"/>
    <w:next w:val="10"/>
    <w:qFormat/>
    <w:uiPriority w:val="0"/>
    <w:pPr>
      <w:spacing w:after="120"/>
    </w:pPr>
  </w:style>
  <w:style w:type="paragraph" w:styleId="10">
    <w:name w:val="footer"/>
    <w:basedOn w:val="1"/>
    <w:qFormat/>
    <w:uiPriority w:val="0"/>
    <w:pPr>
      <w:tabs>
        <w:tab w:val="center" w:pos="4153"/>
        <w:tab w:val="right" w:pos="8306"/>
      </w:tabs>
      <w:snapToGrid w:val="0"/>
      <w:jc w:val="left"/>
    </w:pPr>
    <w:rPr>
      <w:rFonts w:ascii="Times New Roman" w:hAnsi="Times New Roman" w:eastAsia="宋体" w:cs="Times New Roman"/>
      <w:sz w:val="18"/>
      <w:szCs w:val="18"/>
      <w:lang w:bidi="ar-SA"/>
    </w:rPr>
  </w:style>
  <w:style w:type="paragraph" w:styleId="11">
    <w:name w:val="Body Text Indent"/>
    <w:basedOn w:val="1"/>
    <w:qFormat/>
    <w:uiPriority w:val="0"/>
    <w:pPr>
      <w:spacing w:after="120"/>
      <w:ind w:left="200" w:leftChars="200"/>
    </w:pPr>
    <w:rPr>
      <w:rFonts w:ascii="Times New Roman" w:hAnsi="Times New Roman" w:eastAsia="宋体" w:cs="Times New Roman"/>
      <w:lang w:bidi="ar-SA"/>
    </w:rPr>
  </w:style>
  <w:style w:type="paragraph" w:styleId="12">
    <w:name w:val="Plain Text"/>
    <w:basedOn w:val="1"/>
    <w:qFormat/>
    <w:uiPriority w:val="0"/>
    <w:rPr>
      <w:rFonts w:ascii="宋体" w:cs="Courier New"/>
      <w:szCs w:val="21"/>
      <w:lang w:bidi="ar-SA"/>
    </w:rPr>
  </w:style>
  <w:style w:type="paragraph" w:styleId="13">
    <w:name w:val="Date"/>
    <w:basedOn w:val="1"/>
    <w:next w:val="1"/>
    <w:qFormat/>
    <w:uiPriority w:val="0"/>
    <w:pPr>
      <w:ind w:left="2500" w:leftChars="2500"/>
    </w:pPr>
    <w:rPr>
      <w:rFonts w:ascii="Times New Roman" w:hAnsi="Times New Roman" w:eastAsia="宋体" w:cs="Times New Roman"/>
      <w:lang w:bidi="ar-SA"/>
    </w:rPr>
  </w:style>
  <w:style w:type="paragraph" w:styleId="14">
    <w:name w:val="Body Text Indent 2"/>
    <w:basedOn w:val="1"/>
    <w:next w:val="1"/>
    <w:qFormat/>
    <w:uiPriority w:val="0"/>
    <w:pPr>
      <w:spacing w:line="600" w:lineRule="exact"/>
      <w:ind w:firstLine="624"/>
    </w:pPr>
    <w:rPr>
      <w:rFonts w:ascii="仿宋_GB2312" w:hAnsi="仿宋_GB2312"/>
    </w:rPr>
  </w:style>
  <w:style w:type="paragraph" w:styleId="15">
    <w:name w:val="Balloon Text"/>
    <w:basedOn w:val="1"/>
    <w:qFormat/>
    <w:uiPriority w:val="0"/>
    <w:rPr>
      <w:rFonts w:ascii="Times New Roman" w:hAnsi="Times New Roman" w:eastAsia="宋体" w:cs="Times New Roman"/>
      <w:sz w:val="18"/>
      <w:szCs w:val="18"/>
      <w:lang w:bidi="ar-SA"/>
    </w:rPr>
  </w:style>
  <w:style w:type="paragraph" w:styleId="16">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lang w:bidi="ar-SA"/>
    </w:rPr>
  </w:style>
  <w:style w:type="paragraph" w:styleId="17">
    <w:name w:val="List"/>
    <w:basedOn w:val="9"/>
    <w:qFormat/>
    <w:uiPriority w:val="0"/>
  </w:style>
  <w:style w:type="paragraph" w:styleId="18">
    <w:name w:val="footnote text"/>
    <w:qFormat/>
    <w:uiPriority w:val="0"/>
    <w:pPr>
      <w:widowControl w:val="0"/>
      <w:snapToGrid w:val="0"/>
    </w:pPr>
    <w:rPr>
      <w:rFonts w:ascii="Calibri" w:hAnsi="Calibri" w:eastAsia="宋体" w:cs="Times New Roman"/>
      <w:kern w:val="2"/>
      <w:sz w:val="18"/>
      <w:szCs w:val="24"/>
      <w:lang w:val="en-US" w:eastAsia="zh-CN" w:bidi="ar-SA"/>
    </w:rPr>
  </w:style>
  <w:style w:type="paragraph" w:styleId="19">
    <w:name w:val="index 7"/>
    <w:basedOn w:val="1"/>
    <w:next w:val="1"/>
    <w:qFormat/>
    <w:uiPriority w:val="0"/>
    <w:pPr>
      <w:ind w:left="2520"/>
    </w:pPr>
  </w:style>
  <w:style w:type="paragraph" w:styleId="20">
    <w:name w:val="table of figures"/>
    <w:next w:val="1"/>
    <w:qFormat/>
    <w:uiPriority w:val="0"/>
    <w:pPr>
      <w:widowControl w:val="0"/>
      <w:ind w:left="400" w:leftChars="200" w:hanging="200" w:hangingChars="200"/>
      <w:jc w:val="both"/>
    </w:pPr>
    <w:rPr>
      <w:rFonts w:ascii="Calibri" w:hAnsi="Calibri" w:eastAsia="宋体" w:cs="Times New Roman"/>
      <w:kern w:val="2"/>
      <w:sz w:val="21"/>
      <w:szCs w:val="22"/>
      <w:lang w:val="en-US" w:eastAsia="zh-CN" w:bidi="ar-SA"/>
    </w:r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宋体"/>
      <w:kern w:val="0"/>
      <w:sz w:val="24"/>
      <w:szCs w:val="24"/>
      <w:lang w:val="en-US" w:eastAsia="zh-CN" w:bidi="ar"/>
    </w:rPr>
  </w:style>
  <w:style w:type="paragraph" w:styleId="22">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23">
    <w:name w:val="Title"/>
    <w:basedOn w:val="1"/>
    <w:next w:val="1"/>
    <w:qFormat/>
    <w:uiPriority w:val="0"/>
    <w:pPr>
      <w:spacing w:before="240" w:after="60"/>
      <w:jc w:val="center"/>
      <w:outlineLvl w:val="0"/>
    </w:pPr>
    <w:rPr>
      <w:rFonts w:ascii="Calibri Light" w:hAnsi="Calibri Light"/>
      <w:b/>
      <w:bCs/>
      <w:szCs w:val="32"/>
    </w:rPr>
  </w:style>
  <w:style w:type="paragraph" w:styleId="24">
    <w:name w:val="annotation subject"/>
    <w:basedOn w:val="7"/>
    <w:next w:val="7"/>
    <w:qFormat/>
    <w:uiPriority w:val="0"/>
    <w:rPr>
      <w:rFonts w:ascii="Times New Roman" w:hAnsi="Times New Roman" w:eastAsia="宋体" w:cs="Times New Roman"/>
      <w:b/>
      <w:bCs/>
      <w:lang w:bidi="ar-SA"/>
    </w:rPr>
  </w:style>
  <w:style w:type="paragraph" w:styleId="25">
    <w:name w:val="Body Text First Indent 2"/>
    <w:basedOn w:val="11"/>
    <w:next w:val="1"/>
    <w:qFormat/>
    <w:uiPriority w:val="0"/>
    <w:pPr>
      <w:ind w:firstLine="200" w:firstLineChars="200"/>
    </w:pPr>
    <w:rPr>
      <w:rFonts w:ascii="Times New Roman" w:hAnsi="Times New Roman" w:eastAsia="宋体" w:cs="Times New Roman"/>
      <w:lang w:bidi="ar-SA"/>
    </w:rPr>
  </w:style>
  <w:style w:type="character" w:styleId="28">
    <w:name w:val="Strong"/>
    <w:qFormat/>
    <w:uiPriority w:val="0"/>
    <w:rPr>
      <w:b/>
    </w:rPr>
  </w:style>
  <w:style w:type="character" w:styleId="29">
    <w:name w:val="page number"/>
    <w:basedOn w:val="27"/>
    <w:qFormat/>
    <w:uiPriority w:val="0"/>
  </w:style>
  <w:style w:type="character" w:styleId="30">
    <w:name w:val="annotation reference"/>
    <w:basedOn w:val="27"/>
    <w:qFormat/>
    <w:uiPriority w:val="0"/>
    <w:rPr>
      <w:rFonts w:ascii="Times New Roman" w:hAnsi="Times New Roman" w:eastAsia="宋体" w:cs="Times New Roman"/>
      <w:sz w:val="21"/>
      <w:szCs w:val="21"/>
      <w:lang w:bidi="ar-SA"/>
    </w:rPr>
  </w:style>
  <w:style w:type="character" w:customStyle="1" w:styleId="31">
    <w:name w:val="NormalCharacter"/>
    <w:qFormat/>
    <w:uiPriority w:val="0"/>
    <w:rPr>
      <w:kern w:val="2"/>
      <w:sz w:val="21"/>
      <w:szCs w:val="24"/>
      <w:lang w:val="en-US" w:eastAsia="zh-CN" w:bidi="ar-SA"/>
    </w:rPr>
  </w:style>
  <w:style w:type="paragraph" w:customStyle="1" w:styleId="32">
    <w:name w:val="正文2"/>
    <w:basedOn w:val="1"/>
    <w:next w:val="1"/>
    <w:qFormat/>
    <w:uiPriority w:val="0"/>
    <w:rPr>
      <w:rFonts w:ascii="仿宋_GB2312" w:eastAsia="仿宋_GB2312"/>
      <w:sz w:val="32"/>
      <w:szCs w:val="20"/>
    </w:rPr>
  </w:style>
  <w:style w:type="paragraph" w:customStyle="1" w:styleId="33">
    <w:name w:val="Body Text First Indent_f8752f2e-97eb-4732-a32c-c82fd7d1c6af"/>
    <w:next w:val="34"/>
    <w:qFormat/>
    <w:uiPriority w:val="0"/>
    <w:pPr>
      <w:widowControl w:val="0"/>
      <w:spacing w:after="120"/>
      <w:ind w:firstLine="100" w:firstLineChars="100"/>
      <w:jc w:val="both"/>
    </w:pPr>
    <w:rPr>
      <w:rFonts w:ascii="Calibri" w:hAnsi="Calibri" w:eastAsia="宋体" w:cs="Calibri"/>
      <w:kern w:val="2"/>
      <w:sz w:val="21"/>
      <w:szCs w:val="21"/>
      <w:lang w:val="en-US" w:eastAsia="zh-CN" w:bidi="ar-SA"/>
    </w:rPr>
  </w:style>
  <w:style w:type="paragraph" w:customStyle="1" w:styleId="34">
    <w:name w:val="Heading"/>
    <w:basedOn w:val="1"/>
    <w:next w:val="9"/>
    <w:qFormat/>
    <w:uiPriority w:val="0"/>
    <w:pPr>
      <w:keepNext/>
      <w:widowControl w:val="0"/>
      <w:suppressAutoHyphens/>
      <w:spacing w:before="240" w:after="120"/>
    </w:pPr>
    <w:rPr>
      <w:rFonts w:ascii="Liberation Sans" w:hAnsi="Liberation Sans" w:eastAsia="Saturday Sans Regular" w:cs="Saturday Sans Regular"/>
      <w:sz w:val="28"/>
      <w:szCs w:val="28"/>
      <w:lang w:bidi="ar-SA"/>
    </w:rPr>
  </w:style>
  <w:style w:type="character" w:customStyle="1" w:styleId="35">
    <w:name w:val="默认段落字体1"/>
    <w:qFormat/>
    <w:uiPriority w:val="0"/>
  </w:style>
  <w:style w:type="paragraph" w:customStyle="1" w:styleId="36">
    <w:name w:val="标题 5（有编号）（绿盟科技）"/>
    <w:next w:val="1"/>
    <w:qFormat/>
    <w:uiPriority w:val="0"/>
    <w:pPr>
      <w:keepNext/>
      <w:keepLines/>
      <w:widowControl w:val="0"/>
      <w:spacing w:before="280" w:after="156" w:line="376" w:lineRule="auto"/>
      <w:jc w:val="left"/>
      <w:outlineLvl w:val="4"/>
    </w:pPr>
    <w:rPr>
      <w:rFonts w:ascii="Arial" w:hAnsi="Arial" w:eastAsia="黑体" w:cs="Times New Roman"/>
      <w:b/>
      <w:kern w:val="2"/>
      <w:sz w:val="24"/>
      <w:szCs w:val="28"/>
      <w:lang w:val="en-US" w:eastAsia="zh-CN" w:bidi="ar-SA"/>
    </w:rPr>
  </w:style>
  <w:style w:type="paragraph" w:styleId="37">
    <w:name w:val="List Paragraph"/>
    <w:basedOn w:val="1"/>
    <w:qFormat/>
    <w:uiPriority w:val="0"/>
    <w:pPr>
      <w:ind w:firstLine="200" w:firstLineChars="200"/>
    </w:pPr>
    <w:rPr>
      <w:rFonts w:ascii="Times New Roman" w:hAnsi="Times New Roman" w:eastAsia="宋体" w:cs="Times New Roman"/>
      <w:lang w:bidi="ar-SA"/>
    </w:rPr>
  </w:style>
  <w:style w:type="paragraph" w:customStyle="1" w:styleId="38">
    <w:name w:val="列出段落1"/>
    <w:basedOn w:val="1"/>
    <w:qFormat/>
    <w:uiPriority w:val="0"/>
    <w:pPr>
      <w:ind w:firstLine="200" w:firstLineChars="200"/>
    </w:pPr>
    <w:rPr>
      <w:rFonts w:ascii="Calibri" w:hAnsi="Calibri"/>
    </w:rPr>
  </w:style>
  <w:style w:type="paragraph" w:customStyle="1" w:styleId="39">
    <w:name w:val="大标题"/>
    <w:next w:val="1"/>
    <w:qFormat/>
    <w:uiPriority w:val="0"/>
    <w:pPr>
      <w:widowControl w:val="0"/>
      <w:tabs>
        <w:tab w:val="center" w:pos="4153"/>
        <w:tab w:val="right" w:pos="8306"/>
      </w:tabs>
      <w:snapToGrid w:val="0"/>
      <w:spacing w:line="700" w:lineRule="exact"/>
      <w:ind w:firstLine="0"/>
      <w:jc w:val="center"/>
    </w:pPr>
    <w:rPr>
      <w:rFonts w:ascii="方正黑体_GBK" w:hAnsi="Times New Roman" w:eastAsia="方正黑体_GBK" w:cs="Arial"/>
      <w:spacing w:val="0"/>
      <w:kern w:val="2"/>
      <w:sz w:val="44"/>
      <w:szCs w:val="18"/>
      <w:lang w:val="en-US" w:eastAsia="zh-CN" w:bidi="ar-SA"/>
    </w:rPr>
  </w:style>
  <w:style w:type="paragraph" w:customStyle="1" w:styleId="40">
    <w:name w:val="主题标"/>
    <w:basedOn w:val="1"/>
    <w:next w:val="8"/>
    <w:qFormat/>
    <w:uiPriority w:val="0"/>
    <w:pPr>
      <w:spacing w:line="580" w:lineRule="exact"/>
      <w:jc w:val="center"/>
    </w:pPr>
    <w:rPr>
      <w:rFonts w:eastAsia="方正小标宋简体"/>
      <w:sz w:val="44"/>
      <w:szCs w:val="20"/>
    </w:rPr>
  </w:style>
  <w:style w:type="paragraph" w:customStyle="1" w:styleId="41">
    <w:name w:val="p0"/>
    <w:next w:val="6"/>
    <w:qFormat/>
    <w:uiPriority w:val="0"/>
    <w:pPr>
      <w:widowControl/>
      <w:jc w:val="both"/>
    </w:pPr>
    <w:rPr>
      <w:rFonts w:ascii="Calibri" w:hAnsi="Calibri" w:eastAsia="宋体" w:cs="Arial"/>
      <w:kern w:val="0"/>
      <w:sz w:val="21"/>
      <w:szCs w:val="21"/>
      <w:lang w:val="en-US" w:eastAsia="zh-CN" w:bidi="ar-SA"/>
    </w:rPr>
  </w:style>
  <w:style w:type="paragraph" w:customStyle="1" w:styleId="42">
    <w:name w:val="列出段落3"/>
    <w:basedOn w:val="1"/>
    <w:qFormat/>
    <w:uiPriority w:val="0"/>
    <w:pPr>
      <w:ind w:firstLine="200" w:firstLineChars="200"/>
    </w:pPr>
    <w:rPr>
      <w:rFonts w:ascii="Calibri" w:hAnsi="Calibri" w:cs="黑体"/>
      <w:lang w:bidi="ar-SA"/>
    </w:rPr>
  </w:style>
  <w:style w:type="paragraph" w:customStyle="1" w:styleId="43">
    <w:name w:val="正文文本1"/>
    <w:basedOn w:val="1"/>
    <w:qFormat/>
    <w:uiPriority w:val="0"/>
    <w:pPr>
      <w:spacing w:after="120"/>
    </w:pPr>
  </w:style>
  <w:style w:type="paragraph" w:customStyle="1" w:styleId="44">
    <w:name w:val="È¡À?"/>
    <w:basedOn w:val="1"/>
    <w:qFormat/>
    <w:uiPriority w:val="0"/>
    <w:pPr>
      <w:widowControl/>
      <w:overflowPunct w:val="0"/>
      <w:autoSpaceDE w:val="0"/>
      <w:autoSpaceDN w:val="0"/>
      <w:adjustRightInd w:val="0"/>
      <w:jc w:val="left"/>
      <w:textAlignment w:val="baseline"/>
    </w:pPr>
    <w:rPr>
      <w:kern w:val="0"/>
      <w:sz w:val="24"/>
    </w:rPr>
  </w:style>
  <w:style w:type="paragraph" w:customStyle="1" w:styleId="45">
    <w:name w:val="正文首行缩进 21"/>
    <w:basedOn w:val="46"/>
    <w:qFormat/>
    <w:uiPriority w:val="0"/>
    <w:pPr>
      <w:ind w:firstLine="420"/>
    </w:pPr>
  </w:style>
  <w:style w:type="paragraph" w:customStyle="1" w:styleId="46">
    <w:name w:val="正文文本缩进1"/>
    <w:basedOn w:val="1"/>
    <w:qFormat/>
    <w:uiPriority w:val="0"/>
    <w:pPr>
      <w:spacing w:after="120"/>
      <w:ind w:left="420"/>
    </w:pPr>
  </w:style>
  <w:style w:type="paragraph" w:customStyle="1" w:styleId="47">
    <w:name w:val="章标题"/>
    <w:basedOn w:val="1"/>
    <w:qFormat/>
    <w:uiPriority w:val="0"/>
    <w:pPr>
      <w:widowControl/>
      <w:spacing w:before="158" w:after="153" w:line="323" w:lineRule="atLeast"/>
      <w:ind w:right="-120"/>
      <w:jc w:val="center"/>
    </w:pPr>
    <w:rPr>
      <w:color w:val="FF0000"/>
      <w:sz w:val="18"/>
    </w:rPr>
  </w:style>
  <w:style w:type="paragraph" w:customStyle="1" w:styleId="48">
    <w:name w:val="普通(网站)1"/>
    <w:basedOn w:val="1"/>
    <w:qFormat/>
    <w:uiPriority w:val="0"/>
    <w:pPr>
      <w:spacing w:before="100" w:beforeAutospacing="1" w:after="100" w:afterAutospacing="1"/>
      <w:jc w:val="left"/>
    </w:pPr>
    <w:rPr>
      <w:kern w:val="0"/>
      <w:sz w:val="24"/>
    </w:rPr>
  </w:style>
  <w:style w:type="paragraph" w:customStyle="1" w:styleId="49">
    <w:name w:val="常用样式（方正仿宋简）"/>
    <w:qFormat/>
    <w:uiPriority w:val="0"/>
    <w:pPr>
      <w:widowControl w:val="0"/>
      <w:spacing w:line="560" w:lineRule="exact"/>
      <w:ind w:firstLine="200" w:firstLineChars="200"/>
      <w:jc w:val="both"/>
    </w:pPr>
    <w:rPr>
      <w:rFonts w:ascii="Times New Roman" w:hAnsi="Times New Roman" w:eastAsia="Arial Unicode MS"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9</Pages>
  <Words>4388</Words>
  <Characters>4444</Characters>
  <TotalTime>0</TotalTime>
  <ScaleCrop>false</ScaleCrop>
  <LinksUpToDate>false</LinksUpToDate>
  <CharactersWithSpaces>4486</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2021-09-16T14:57:00Z</dcterms:created>
  <dc:creator>Administrator</dc:creator>
  <cp:lastModifiedBy>-_-</cp:lastModifiedBy>
  <cp:lastPrinted>2026-07-14T01:50:00Z</cp:lastPrinted>
  <dcterms:modified xsi:type="dcterms:W3CDTF">2026-08-24T07:50:49Z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eyJoZGlkIjoiMDM2NzNjYmRiMzFhNDRmMDFkZDZhZjAzMzZjMjE1MTUiLCJ1c2VySWQiOiIzNDk4NzIyODIifQ==</vt:lpwstr>
  </property>
  <property fmtid="{D5CDD505-2E9C-101B-9397-08002B2CF9AE}" pid="4" name="ICV">
    <vt:lpwstr>CC7F147CE2E44DB181F945F042545CCD_13</vt:lpwstr>
  </property>
</Properties>
</file>