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  <w:t>成都文学院签约作家（长篇小说）申报表</w:t>
      </w:r>
    </w:p>
    <w:bookmarkEnd w:id="0"/>
    <w:tbl>
      <w:tblPr>
        <w:tblStyle w:val="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创作主题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围绕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改革开放45周年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成都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建设公园城市示范区□、成渝双城经济圈主题□、成德眉资同城化主题□、大运会主题□、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新时代乡村巨变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□、幸福美好生活十大工程主题□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、科技创新和科幻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、红色文化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长篇小说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、长篇报告文学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、长篇纪实文学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传记文学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、长篇儿童文学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、网络文学出版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预计完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当代现实题材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、红色文化题材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、历史文化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、民俗风情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、都市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生活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、其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成都市         区（市）县      乡镇        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（字数不少于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000字，另附于表后）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目前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创作情况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推荐人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区市县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文联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1、推荐人由省、市作协副主席以上，行业内副高职称以上，从事文学组织与管理工作的副处长以上人员担任。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2、目前创作情况（已完成，拟发表或出版作品的情况）。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3、请报送代表作或专著一到两份给文学院。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4、发表作品的时间、期刊名称请填写清楚准确，作假责任自负。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5、空格不够填写的可附页于表后，此表可复印。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AxY2RiZTVkMDY5OGU4NDZmMmEyYTNjYjZhNTQifQ=="/>
  </w:docVars>
  <w:rsids>
    <w:rsidRoot w:val="3493482F"/>
    <w:rsid w:val="141E7610"/>
    <w:rsid w:val="3493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504</Characters>
  <Lines>0</Lines>
  <Paragraphs>0</Paragraphs>
  <TotalTime>0</TotalTime>
  <ScaleCrop>false</ScaleCrop>
  <LinksUpToDate>false</LinksUpToDate>
  <CharactersWithSpaces>527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2023-02-23T08:54:00Z</dcterms:created>
  <dc:creator>泠璃</dc:creator>
  <cp:lastModifiedBy>泠璃</cp:lastModifiedBy>
  <dcterms:modified xsi:type="dcterms:W3CDTF">2023-02-23T08:54:39Z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E3C1C143E8D4481B916B09E26B2E5D51</vt:lpwstr>
  </property>
</Properties>
</file>